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415" w:lineRule="auto"/>
        <w:outlineLvl w:val="2"/>
        <w:rPr>
          <w:rFonts w:hint="default" w:ascii="黑体" w:hAnsi="黑体" w:eastAsia="黑体" w:cs="Times New Roman"/>
          <w:b w:val="0"/>
          <w:bCs w:val="0"/>
          <w:color w:val="000000" w:themeColor="text1"/>
          <w:lang w:val="en-US" w:eastAsia="zh-CN"/>
          <w14:textFill>
            <w14:solidFill>
              <w14:schemeClr w14:val="tx1"/>
            </w14:solidFill>
          </w14:textFill>
        </w:rPr>
      </w:pPr>
      <w:r>
        <w:rPr>
          <w:color w:val="000000"/>
          <w:sz w:val="24"/>
        </w:rPr>
        <mc:AlternateContent>
          <mc:Choice Requires="wps">
            <w:drawing>
              <wp:anchor distT="0" distB="0" distL="114300" distR="114300" simplePos="0" relativeHeight="251659264" behindDoc="1" locked="0" layoutInCell="1" allowOverlap="1">
                <wp:simplePos x="0" y="0"/>
                <wp:positionH relativeFrom="column">
                  <wp:posOffset>-3924935</wp:posOffset>
                </wp:positionH>
                <wp:positionV relativeFrom="paragraph">
                  <wp:posOffset>19050</wp:posOffset>
                </wp:positionV>
                <wp:extent cx="3835400" cy="5220970"/>
                <wp:effectExtent l="0" t="0" r="12700" b="17780"/>
                <wp:wrapNone/>
                <wp:docPr id="71" name="文本框 71"/>
                <wp:cNvGraphicFramePr/>
                <a:graphic xmlns:a="http://schemas.openxmlformats.org/drawingml/2006/main">
                  <a:graphicData uri="http://schemas.microsoft.com/office/word/2010/wordprocessingShape">
                    <wps:wsp>
                      <wps:cNvSpPr txBox="1"/>
                      <wps:spPr>
                        <a:xfrm>
                          <a:off x="-3002915" y="1158240"/>
                          <a:ext cx="3835400" cy="5220970"/>
                        </a:xfrm>
                        <a:prstGeom prst="rect">
                          <a:avLst/>
                        </a:prstGeom>
                        <a:gradFill rotWithShape="0">
                          <a:gsLst>
                            <a:gs pos="0">
                              <a:srgbClr val="FFFFFF"/>
                            </a:gs>
                            <a:gs pos="100000">
                              <a:srgbClr val="FFFFFF"/>
                            </a:gs>
                          </a:gsLst>
                          <a:lin ang="0"/>
                          <a:tileRect/>
                        </a:gradFill>
                        <a:ln w="15875">
                          <a:noFill/>
                        </a:ln>
                        <a:effectLst/>
                      </wps:spPr>
                      <wps:txbx>
                        <w:txbxContent>
                          <w:p>
                            <w:pPr>
                              <w:rPr>
                                <w:rFonts w:hint="eastAsia" w:ascii="宋体" w:hAnsi="宋体" w:eastAsia="宋体" w:cs="宋体"/>
                                <w:sz w:val="28"/>
                                <w:szCs w:val="28"/>
                                <w:lang w:val="en-US" w:eastAsia="zh-CN"/>
                              </w:rPr>
                            </w:pPr>
                            <w:r>
                              <w:rPr>
                                <w:rFonts w:hint="eastAsia" w:ascii="宋体" w:hAnsi="宋体" w:cs="宋体"/>
                                <w:sz w:val="28"/>
                                <w:szCs w:val="28"/>
                                <w:lang w:val="en-US" w:eastAsia="zh-CN"/>
                              </w:rPr>
                              <w:t>—</w:t>
                            </w:r>
                            <w:r>
                              <w:rPr>
                                <w:rFonts w:hint="eastAsia" w:ascii="宋体" w:hAnsi="宋体" w:eastAsia="宋体" w:cs="宋体"/>
                                <w:sz w:val="28"/>
                                <w:szCs w:val="28"/>
                                <w:lang w:val="en-US" w:eastAsia="zh-CN"/>
                              </w:rPr>
                              <w:t xml:space="preserve"> 14 </w:t>
                            </w:r>
                            <w:r>
                              <w:rPr>
                                <w:rFonts w:hint="eastAsia" w:ascii="宋体" w:hAnsi="宋体" w:cs="宋体"/>
                                <w:sz w:val="28"/>
                                <w:szCs w:val="28"/>
                                <w:lang w:val="en-US" w:eastAsia="zh-CN"/>
                              </w:rPr>
                              <w:t>—</w:t>
                            </w:r>
                          </w:p>
                        </w:txbxContent>
                      </wps:txbx>
                      <wps:bodyPr vert="eaVert" wrap="square" upright="1"/>
                    </wps:wsp>
                  </a:graphicData>
                </a:graphic>
              </wp:anchor>
            </w:drawing>
          </mc:Choice>
          <mc:Fallback>
            <w:pict>
              <v:shape id="_x0000_s1026" o:spid="_x0000_s1026" o:spt="202" type="#_x0000_t202" style="position:absolute;left:0pt;margin-left:-309.05pt;margin-top:1.5pt;height:411.1pt;width:302pt;z-index:-251657216;mso-width-relative:page;mso-height-relative:page;" fillcolor="#FFFFFF" filled="t" stroked="f" coordsize="21600,21600" o:gfxdata="UEsFBgAAAAAAAAAAAAAAAAAAAAAAAFBLAwQKAAAAAACHTuJAAAAAAAAAAAAAAAAABAAAAGRycy9Q&#10;SwMEFAAAAAgAh07iQANrPXrZAAAACgEAAA8AAABkcnMvZG93bnJldi54bWxNj8FOwzAQRO9I/IO1&#10;SFxQ6jjQEoVsKoEEF0RLW8TZTUwSiNeR7bbh71lOcBzt0+ybcjnZQRyND70jBDVLQRiqXdNTi/C2&#10;e0xyECFqavTgyCB8mwDL6vys1EXjTrQxx21sBZdQKDRCF+NYSBnqzlgdZm40xLcP562OHH0rG69P&#10;XG4HmaXpQlrdE3/o9GgeOlN/bQ8W4XZav3665/XL5O+jnj+t6OpdEeLlhUrvQEQzxT8YfvVZHSp2&#10;2rsDNUEMCMlC5YpZhGvexECibjjvEfJsnoGsSvl/QvUDUEsDBBQAAAAIAIdO4kD46L4xJQIAAEIE&#10;AAAOAAAAZHJzL2Uyb0RvYy54bWytU82O0zAQviPxDpbv2/x0w3arpitBVS4IEMvP2XWcxJJjm7Hb&#10;pC8Ab8BpL9x5rj4HYye7VIuE9kAOycT+/M1834xXN0OnyEGAk0aXNJullAjNTSV1U9JPH7cXC0qc&#10;Z7piymhR0qNw9Gb9/Nmqt0uRm9aoSgBBEu2WvS1p671dJonjreiYmxkrNG7WBjrm8ReapALWI3un&#10;kjxNXyS9gcqC4cI5XN2Mm3RihKcQmrqWXGwM33dC+5EVhGIeJblWWkfXsdq6Fty/q2snPFElRaU+&#10;vjEJxrvwTtYrtmyA2VbyqQT2lBIeaeqY1Jj0gWrDPCN7kH9RdZKDcab2M266ZBQSHUEVWfrIm9uW&#10;WRG1oNXOPpju/h8tf3t4D0RWJb3KKNGsw46ffnw/3f06/fxGcA0N6q1bIu7WItIPL82AY3O/7nAx&#10;6B5q6MIXFRHcv5inaX6dFZQcEZwVi/xy8loMnnBEzBfz4jLFNnBEFHmeXl9FRPKHy4Lzr4XpSAhK&#10;CtjM6DE7vHEe60LoPWSyvtpKpQgY/0X6NroXehw3HZ4ZA2INGjguO2h2rxSQA8P52MYnKEPmxp2j&#10;szQ8kenfR+LJKZWSmrBwqybpXirxAUVMCYDFckMapUmPPhWLqyLm0CYIGXFKB4SIszzpDg0ZjQ+R&#10;H3YDQkO4M9URm4S3G/0S7DN+Kelxukvqvu4ZCEr2FmTT4nZsYRJO4WiNksdrEGb3/B/j86u//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ihRmPNEAAACUAQAACwAAAAAAAAABACAAAACzAwAA&#10;X3JlbHMvLnJlbHNQSwECFAAUAAAACACHTuJAfublIPcAAADhAQAAEwAAAAAAAAABACAAAACtBAAA&#10;W0NvbnRlbnRfVHlwZXNdLnhtbFBLAQIUAAoAAAAAAIdO4kAAAAAAAAAAAAAAAAAGAAAAAAAAAAAA&#10;EAAAAI8DAABfcmVscy9QSwECFAAUAAAACACHTuJA+Oi+MSUCAABCBAAADgAAAAAAAAABACAAAAA+&#10;AQAAZHJzL2Uyb0RvYy54bWxQSwECFAAUAAAACACHTuJAA2s9etkAAAAKAQAADwAAAAAAAAABACAA&#10;AAA4AAAAZHJzL2Rvd25yZXYueG1sUEsBAhQACgAAAAAAh07iQAAAAAAAAAAAAAAAAAQAAAAAAAAA&#10;AAAQAAAAFgAAAGRycy9QSwUGAAAAAAYABgBZAQAA1QU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cs="宋体"/>
                          <w:sz w:val="28"/>
                          <w:szCs w:val="28"/>
                          <w:lang w:val="en-US" w:eastAsia="zh-CN"/>
                        </w:rPr>
                        <w:t>—</w:t>
                      </w:r>
                      <w:r>
                        <w:rPr>
                          <w:rFonts w:hint="eastAsia" w:ascii="宋体" w:hAnsi="宋体" w:eastAsia="宋体" w:cs="宋体"/>
                          <w:sz w:val="28"/>
                          <w:szCs w:val="28"/>
                          <w:lang w:val="en-US" w:eastAsia="zh-CN"/>
                        </w:rPr>
                        <w:t xml:space="preserve"> 14 </w:t>
                      </w:r>
                      <w:r>
                        <w:rPr>
                          <w:rFonts w:hint="eastAsia" w:ascii="宋体" w:hAnsi="宋体" w:cs="宋体"/>
                          <w:sz w:val="28"/>
                          <w:szCs w:val="28"/>
                          <w:lang w:val="en-US" w:eastAsia="zh-CN"/>
                        </w:rPr>
                        <w:t>—</w:t>
                      </w:r>
                    </w:p>
                  </w:txbxContent>
                </v:textbox>
              </v:shape>
            </w:pict>
          </mc:Fallback>
        </mc:AlternateContent>
      </w:r>
      <w:r>
        <w:rPr>
          <w:rFonts w:hint="eastAsia" w:ascii="黑体" w:hAnsi="黑体" w:cs="Times New Roman"/>
          <w:b w:val="0"/>
          <w:bCs w:val="0"/>
          <w:color w:val="000000" w:themeColor="text1"/>
          <w:lang w:eastAsia="zh-CN"/>
          <w14:textFill>
            <w14:solidFill>
              <w14:schemeClr w14:val="tx1"/>
            </w14:solidFill>
          </w14:textFill>
        </w:rPr>
        <w:t>附件</w:t>
      </w:r>
      <w:r>
        <w:rPr>
          <w:rFonts w:hint="eastAsia" w:ascii="黑体" w:hAnsi="黑体" w:cs="Times New Roman"/>
          <w:b w:val="0"/>
          <w:bCs w:val="0"/>
          <w:color w:val="000000" w:themeColor="text1"/>
          <w:lang w:val="en-US" w:eastAsia="zh-CN"/>
          <w14:textFill>
            <w14:solidFill>
              <w14:schemeClr w14:val="tx1"/>
            </w14:solidFill>
          </w14:textFill>
        </w:rPr>
        <w:t>2</w:t>
      </w:r>
      <w:bookmarkStart w:id="0" w:name="_GoBack"/>
      <w:bookmarkEnd w:id="0"/>
    </w:p>
    <w:p>
      <w:pPr>
        <w:jc w:val="center"/>
        <w:rPr>
          <w:rFonts w:ascii="方正小标宋简体" w:hAnsi="方正小标宋简体" w:eastAsia="方正小标宋简体" w:cs="方正小标宋简体"/>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lang w:eastAsia="zh-CN"/>
          <w14:textFill>
            <w14:solidFill>
              <w14:schemeClr w14:val="tx1"/>
            </w14:solidFill>
          </w14:textFill>
        </w:rPr>
        <w:t>交城县</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气象灾害应急指挥部及其办公室、成员单位职责</w:t>
      </w:r>
    </w:p>
    <w:tbl>
      <w:tblPr>
        <w:tblStyle w:val="5"/>
        <w:tblW w:w="14363" w:type="dxa"/>
        <w:jc w:val="center"/>
        <w:tblLayout w:type="fixed"/>
        <w:tblCellMar>
          <w:top w:w="0" w:type="dxa"/>
          <w:left w:w="108" w:type="dxa"/>
          <w:bottom w:w="0" w:type="dxa"/>
          <w:right w:w="108" w:type="dxa"/>
        </w:tblCellMar>
      </w:tblPr>
      <w:tblGrid>
        <w:gridCol w:w="2975"/>
        <w:gridCol w:w="11388"/>
      </w:tblGrid>
      <w:tr>
        <w:tblPrEx>
          <w:tblCellMar>
            <w:top w:w="0" w:type="dxa"/>
            <w:left w:w="108" w:type="dxa"/>
            <w:bottom w:w="0" w:type="dxa"/>
            <w:right w:w="108" w:type="dxa"/>
          </w:tblCellMar>
        </w:tblPrEx>
        <w:trPr>
          <w:trHeight w:val="454"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黑体" w:hAnsi="黑体" w:eastAsia="黑体" w:cs="黑体"/>
                <w:b w:val="0"/>
                <w:bCs w:val="0"/>
                <w:color w:val="000000" w:themeColor="text1"/>
                <w:kern w:val="0"/>
                <w:sz w:val="24"/>
                <w:szCs w:val="24"/>
                <w14:textFill>
                  <w14:solidFill>
                    <w14:schemeClr w14:val="tx1"/>
                  </w14:solidFill>
                </w14:textFill>
              </w:rPr>
            </w:pPr>
            <w:r>
              <w:rPr>
                <w:rFonts w:hint="eastAsia" w:ascii="黑体" w:hAnsi="黑体" w:eastAsia="黑体" w:cs="黑体"/>
                <w:b w:val="0"/>
                <w:bCs w:val="0"/>
                <w:color w:val="000000" w:themeColor="text1"/>
                <w:kern w:val="0"/>
                <w:sz w:val="24"/>
                <w:szCs w:val="24"/>
                <w14:textFill>
                  <w14:solidFill>
                    <w14:schemeClr w14:val="tx1"/>
                  </w14:solidFill>
                </w14:textFill>
              </w:rPr>
              <w:t>单位名称</w:t>
            </w:r>
          </w:p>
        </w:tc>
        <w:tc>
          <w:tcPr>
            <w:tcW w:w="1138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黑体" w:hAnsi="黑体" w:eastAsia="黑体" w:cs="黑体"/>
                <w:b w:val="0"/>
                <w:bCs w:val="0"/>
                <w:color w:val="000000" w:themeColor="text1"/>
                <w:kern w:val="0"/>
                <w:sz w:val="24"/>
                <w:szCs w:val="24"/>
                <w14:textFill>
                  <w14:solidFill>
                    <w14:schemeClr w14:val="tx1"/>
                  </w14:solidFill>
                </w14:textFill>
              </w:rPr>
            </w:pPr>
            <w:r>
              <w:rPr>
                <w:rFonts w:hint="eastAsia" w:ascii="黑体" w:hAnsi="黑体" w:eastAsia="黑体" w:cs="黑体"/>
                <w:b w:val="0"/>
                <w:bCs w:val="0"/>
                <w:color w:val="000000" w:themeColor="text1"/>
                <w:kern w:val="0"/>
                <w:sz w:val="24"/>
                <w:szCs w:val="24"/>
                <w14:textFill>
                  <w14:solidFill>
                    <w14:schemeClr w14:val="tx1"/>
                  </w14:solidFill>
                </w14:textFill>
              </w:rPr>
              <w:t>主要职责</w:t>
            </w:r>
          </w:p>
        </w:tc>
      </w:tr>
      <w:tr>
        <w:tblPrEx>
          <w:tblCellMar>
            <w:top w:w="0" w:type="dxa"/>
            <w:left w:w="108" w:type="dxa"/>
            <w:bottom w:w="0" w:type="dxa"/>
            <w:right w:w="108" w:type="dxa"/>
          </w:tblCellMar>
        </w:tblPrEx>
        <w:trPr>
          <w:trHeight w:val="1383"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指挥部</w:t>
            </w:r>
          </w:p>
        </w:tc>
        <w:tc>
          <w:tcPr>
            <w:tcW w:w="11388" w:type="dxa"/>
            <w:tcBorders>
              <w:top w:val="nil"/>
              <w:left w:val="nil"/>
              <w:bottom w:val="single" w:color="auto" w:sz="4" w:space="0"/>
              <w:right w:val="single" w:color="auto" w:sz="4" w:space="0"/>
            </w:tcBorders>
            <w:shd w:val="clear" w:color="auto" w:fill="auto"/>
            <w:vAlign w:val="center"/>
          </w:tcPr>
          <w:p>
            <w:pPr>
              <w:widowControl/>
              <w:jc w:val="left"/>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贯彻落实党中央、国务院、省委</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省政府</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市委、市政府、</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委</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政府关于气象灾害防范应对工作的决策部署</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统筹协调全</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气象灾害防范治理工作</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制定气象灾害总体规划、重要措施</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指导协调气象灾害风险防控、监测预警、调查评估和善后工作</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组织指挥重大气象灾害应急处置工作</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决定</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级层面气象应急响应级别并组织落实响应措施</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落实</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委、</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政府及</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应急救援总指挥部交办的气象灾害应急处置的其他重大事项。</w:t>
            </w:r>
          </w:p>
        </w:tc>
      </w:tr>
      <w:tr>
        <w:tblPrEx>
          <w:tblCellMar>
            <w:top w:w="0" w:type="dxa"/>
            <w:left w:w="108" w:type="dxa"/>
            <w:bottom w:w="0" w:type="dxa"/>
            <w:right w:w="108" w:type="dxa"/>
          </w:tblCellMar>
        </w:tblPrEx>
        <w:trPr>
          <w:trHeight w:val="1383"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指挥部办公室</w:t>
            </w:r>
          </w:p>
          <w:p>
            <w:pPr>
              <w:widowControl/>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气象局）</w:t>
            </w:r>
          </w:p>
        </w:tc>
        <w:tc>
          <w:tcPr>
            <w:tcW w:w="11388" w:type="dxa"/>
            <w:tcBorders>
              <w:top w:val="nil"/>
              <w:left w:val="single" w:color="auto" w:sz="4" w:space="0"/>
              <w:bottom w:val="single" w:color="auto" w:sz="4" w:space="0"/>
              <w:right w:val="single" w:color="auto" w:sz="4" w:space="0"/>
            </w:tcBorders>
            <w:shd w:val="clear" w:color="auto" w:fill="auto"/>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t>负责承担气象灾害应急指挥部日常工作，制定、修订气象灾害专项应急预案，开展气象灾害风险防控和监测预警工作，及时发布预报、预警信息；指导各乡镇气象灾害应对工作；组织协调上级部门和周边气象台站开展会商，分析灾害发展趋势并进行灾害影响评估，向县应急指挥部提出气象灾害防御对策、协同应对方案和决策依据；协调推进调查评估和善后处置工作，完成县应急指挥部交办的其他工作。</w:t>
            </w:r>
          </w:p>
        </w:tc>
      </w:tr>
      <w:tr>
        <w:tblPrEx>
          <w:tblCellMar>
            <w:top w:w="0" w:type="dxa"/>
            <w:left w:w="108" w:type="dxa"/>
            <w:bottom w:w="0" w:type="dxa"/>
            <w:right w:w="108" w:type="dxa"/>
          </w:tblCellMar>
        </w:tblPrEx>
        <w:trPr>
          <w:trHeight w:val="454"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委宣传部</w:t>
            </w:r>
          </w:p>
        </w:tc>
        <w:tc>
          <w:tcPr>
            <w:tcW w:w="113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根据</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气象灾害应急指挥部的统一部署，组织协调开展气象灾害应急新闻报道，积极引导舆论。</w:t>
            </w:r>
          </w:p>
        </w:tc>
      </w:tr>
      <w:tr>
        <w:tblPrEx>
          <w:tblCellMar>
            <w:top w:w="0" w:type="dxa"/>
            <w:left w:w="108" w:type="dxa"/>
            <w:bottom w:w="0" w:type="dxa"/>
            <w:right w:w="108" w:type="dxa"/>
          </w:tblCellMar>
        </w:tblPrEx>
        <w:trPr>
          <w:trHeight w:val="454"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县融媒体中心</w:t>
            </w:r>
          </w:p>
        </w:tc>
        <w:tc>
          <w:tcPr>
            <w:tcW w:w="113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做好</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灾害性天气气候预报、警报等信息的发布，</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利用融媒体</w:t>
            </w:r>
            <w:r>
              <w:rPr>
                <w:rFonts w:hint="eastAsia" w:ascii="仿宋_GB2312" w:hAnsi="仿宋_GB2312" w:eastAsia="仿宋_GB2312" w:cs="仿宋_GB2312"/>
                <w:color w:val="000000" w:themeColor="text1"/>
                <w:kern w:val="0"/>
                <w:sz w:val="24"/>
                <w:szCs w:val="24"/>
                <w14:textFill>
                  <w14:solidFill>
                    <w14:schemeClr w14:val="tx1"/>
                  </w14:solidFill>
                </w14:textFill>
              </w:rPr>
              <w:t>做好关于</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气象灾害</w:t>
            </w:r>
            <w:r>
              <w:rPr>
                <w:rFonts w:hint="eastAsia" w:ascii="仿宋_GB2312" w:hAnsi="仿宋_GB2312" w:eastAsia="仿宋_GB2312" w:cs="仿宋_GB2312"/>
                <w:color w:val="000000" w:themeColor="text1"/>
                <w:kern w:val="0"/>
                <w:sz w:val="24"/>
                <w:szCs w:val="24"/>
                <w14:textFill>
                  <w14:solidFill>
                    <w14:schemeClr w14:val="tx1"/>
                  </w14:solidFill>
                </w14:textFill>
              </w:rPr>
              <w:t>的科普宣传</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和</w:t>
            </w:r>
            <w:r>
              <w:rPr>
                <w:rFonts w:hint="eastAsia" w:ascii="仿宋_GB2312" w:hAnsi="仿宋_GB2312" w:eastAsia="仿宋_GB2312" w:cs="仿宋_GB2312"/>
                <w:color w:val="000000" w:themeColor="text1"/>
                <w:kern w:val="0"/>
                <w:sz w:val="24"/>
                <w:szCs w:val="24"/>
                <w14:textFill>
                  <w14:solidFill>
                    <w14:schemeClr w14:val="tx1"/>
                  </w14:solidFill>
                </w14:textFill>
              </w:rPr>
              <w:t>气象灾害</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处置的宣传发动，以及相关</w:t>
            </w:r>
            <w:r>
              <w:rPr>
                <w:rFonts w:hint="eastAsia" w:ascii="仿宋_GB2312" w:hAnsi="仿宋_GB2312" w:eastAsia="仿宋_GB2312" w:cs="仿宋_GB2312"/>
                <w:color w:val="000000" w:themeColor="text1"/>
                <w:kern w:val="0"/>
                <w:sz w:val="24"/>
                <w:szCs w:val="24"/>
                <w14:textFill>
                  <w14:solidFill>
                    <w14:schemeClr w14:val="tx1"/>
                  </w14:solidFill>
                </w14:textFill>
              </w:rPr>
              <w:t>新闻报道工作。</w:t>
            </w:r>
          </w:p>
        </w:tc>
      </w:tr>
      <w:tr>
        <w:tblPrEx>
          <w:tblCellMar>
            <w:top w:w="0" w:type="dxa"/>
            <w:left w:w="108" w:type="dxa"/>
            <w:bottom w:w="0" w:type="dxa"/>
            <w:right w:w="108" w:type="dxa"/>
          </w:tblCellMar>
        </w:tblPrEx>
        <w:trPr>
          <w:trHeight w:val="986"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应急管理局</w:t>
            </w:r>
          </w:p>
          <w:p>
            <w:pPr>
              <w:widowControl/>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防震减灾中心）</w:t>
            </w:r>
          </w:p>
        </w:tc>
        <w:tc>
          <w:tcPr>
            <w:tcW w:w="113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bCs/>
                <w:color w:val="000000" w:themeColor="text1"/>
                <w:kern w:val="0"/>
                <w:sz w:val="24"/>
                <w:szCs w:val="24"/>
                <w14:textFill>
                  <w14:solidFill>
                    <w14:schemeClr w14:val="tx1"/>
                  </w14:solidFill>
                </w14:textFill>
              </w:rPr>
              <w:t>统筹消防、森林和草原火灾扑救、抗洪抢险、地震和地质灾害救援、生产安全事故救援等专业应急救援力量建设，管理</w:t>
            </w:r>
            <w:r>
              <w:rPr>
                <w:rFonts w:hint="eastAsia" w:ascii="仿宋_GB2312" w:hAnsi="仿宋_GB2312" w:eastAsia="仿宋_GB2312" w:cs="仿宋_GB2312"/>
                <w:bCs/>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bCs/>
                <w:color w:val="000000" w:themeColor="text1"/>
                <w:kern w:val="0"/>
                <w:sz w:val="24"/>
                <w:szCs w:val="24"/>
                <w14:textFill>
                  <w14:solidFill>
                    <w14:schemeClr w14:val="tx1"/>
                  </w14:solidFill>
                </w14:textFill>
              </w:rPr>
              <w:t>级应急救援队伍，指导各</w:t>
            </w:r>
            <w:r>
              <w:rPr>
                <w:rFonts w:hint="eastAsia" w:ascii="仿宋_GB2312" w:hAnsi="仿宋_GB2312" w:eastAsia="仿宋_GB2312" w:cs="仿宋_GB2312"/>
                <w:bCs/>
                <w:color w:val="000000" w:themeColor="text1"/>
                <w:kern w:val="0"/>
                <w:sz w:val="24"/>
                <w:szCs w:val="24"/>
                <w:lang w:eastAsia="zh-CN"/>
                <w14:textFill>
                  <w14:solidFill>
                    <w14:schemeClr w14:val="tx1"/>
                  </w14:solidFill>
                </w14:textFill>
              </w:rPr>
              <w:t>乡镇</w:t>
            </w:r>
            <w:r>
              <w:rPr>
                <w:rFonts w:hint="eastAsia" w:ascii="仿宋_GB2312" w:hAnsi="仿宋_GB2312" w:eastAsia="仿宋_GB2312" w:cs="仿宋_GB2312"/>
                <w:bCs/>
                <w:color w:val="000000" w:themeColor="text1"/>
                <w:kern w:val="0"/>
                <w:sz w:val="24"/>
                <w:szCs w:val="24"/>
                <w14:textFill>
                  <w14:solidFill>
                    <w14:schemeClr w14:val="tx1"/>
                  </w14:solidFill>
                </w14:textFill>
              </w:rPr>
              <w:t>及社会应急救援力量建设。制定应急物资储备和应急救援装备规划并组织实施，会同</w:t>
            </w:r>
            <w:r>
              <w:rPr>
                <w:rFonts w:hint="eastAsia" w:ascii="仿宋_GB2312" w:hAnsi="仿宋_GB2312" w:eastAsia="仿宋_GB2312" w:cs="仿宋_GB2312"/>
                <w:bCs/>
                <w:color w:val="000000" w:themeColor="text1"/>
                <w:kern w:val="0"/>
                <w:sz w:val="24"/>
                <w:szCs w:val="24"/>
                <w:lang w:eastAsia="zh-CN"/>
                <w14:textFill>
                  <w14:solidFill>
                    <w14:schemeClr w14:val="tx1"/>
                  </w14:solidFill>
                </w14:textFill>
              </w:rPr>
              <w:t>县发展和改革局</w:t>
            </w:r>
            <w:r>
              <w:rPr>
                <w:rFonts w:hint="eastAsia" w:ascii="仿宋_GB2312" w:hAnsi="仿宋_GB2312" w:eastAsia="仿宋_GB2312" w:cs="仿宋_GB2312"/>
                <w:bCs/>
                <w:color w:val="000000" w:themeColor="text1"/>
                <w:kern w:val="0"/>
                <w:sz w:val="24"/>
                <w:szCs w:val="24"/>
                <w14:textFill>
                  <w14:solidFill>
                    <w14:schemeClr w14:val="tx1"/>
                  </w14:solidFill>
                </w14:textFill>
              </w:rPr>
              <w:t>等部门建立健全全</w:t>
            </w:r>
            <w:r>
              <w:rPr>
                <w:rFonts w:hint="eastAsia" w:ascii="仿宋_GB2312" w:hAnsi="仿宋_GB2312" w:eastAsia="仿宋_GB2312" w:cs="仿宋_GB2312"/>
                <w:bCs/>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bCs/>
                <w:color w:val="000000" w:themeColor="text1"/>
                <w:kern w:val="0"/>
                <w:sz w:val="24"/>
                <w:szCs w:val="24"/>
                <w14:textFill>
                  <w14:solidFill>
                    <w14:schemeClr w14:val="tx1"/>
                  </w14:solidFill>
                </w14:textFill>
              </w:rPr>
              <w:t>应急物资信息平台和调拨制度，在救灾时统一调度。</w:t>
            </w:r>
          </w:p>
        </w:tc>
      </w:tr>
      <w:tr>
        <w:tblPrEx>
          <w:tblCellMar>
            <w:top w:w="0" w:type="dxa"/>
            <w:left w:w="108" w:type="dxa"/>
            <w:bottom w:w="0" w:type="dxa"/>
            <w:right w:w="108" w:type="dxa"/>
          </w:tblCellMar>
        </w:tblPrEx>
        <w:trPr>
          <w:trHeight w:val="454"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县</w:t>
            </w:r>
            <w:r>
              <w:rPr>
                <w:rFonts w:hint="eastAsia" w:ascii="仿宋_GB2312" w:hAnsi="仿宋_GB2312" w:eastAsia="仿宋_GB2312" w:cs="仿宋_GB2312"/>
                <w:color w:val="000000" w:themeColor="text1"/>
                <w:sz w:val="24"/>
                <w:szCs w:val="24"/>
                <w:lang w:eastAsia="zh-CN"/>
                <w14:textFill>
                  <w14:solidFill>
                    <w14:schemeClr w14:val="tx1"/>
                  </w14:solidFill>
                </w14:textFill>
              </w:rPr>
              <w:t>消防救援</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大</w:t>
            </w:r>
            <w:r>
              <w:rPr>
                <w:rFonts w:hint="eastAsia" w:ascii="仿宋_GB2312" w:hAnsi="仿宋_GB2312" w:eastAsia="仿宋_GB2312" w:cs="仿宋_GB2312"/>
                <w:color w:val="000000" w:themeColor="text1"/>
                <w:sz w:val="24"/>
                <w:szCs w:val="24"/>
                <w:lang w:eastAsia="zh-CN"/>
                <w14:textFill>
                  <w14:solidFill>
                    <w14:schemeClr w14:val="tx1"/>
                  </w14:solidFill>
                </w14:textFill>
              </w:rPr>
              <w:t>队</w:t>
            </w:r>
          </w:p>
        </w:tc>
        <w:tc>
          <w:tcPr>
            <w:tcW w:w="1138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_GB2312" w:hAnsi="仿宋_GB2312" w:eastAsia="仿宋_GB2312" w:cs="仿宋_GB2312"/>
                <w:bCs/>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负责灾害发生区域的消防救援工作。</w:t>
            </w:r>
          </w:p>
        </w:tc>
      </w:tr>
      <w:tr>
        <w:tblPrEx>
          <w:tblCellMar>
            <w:top w:w="0" w:type="dxa"/>
            <w:left w:w="108" w:type="dxa"/>
            <w:bottom w:w="0" w:type="dxa"/>
            <w:right w:w="108" w:type="dxa"/>
          </w:tblCellMar>
        </w:tblPrEx>
        <w:trPr>
          <w:trHeight w:val="454"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财政局</w:t>
            </w:r>
          </w:p>
        </w:tc>
        <w:tc>
          <w:tcPr>
            <w:tcW w:w="1138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积极筹措气象灾害应急资金，会同</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指挥部</w:t>
            </w:r>
            <w:r>
              <w:rPr>
                <w:rFonts w:hint="eastAsia" w:ascii="仿宋_GB2312" w:hAnsi="仿宋_GB2312" w:eastAsia="仿宋_GB2312" w:cs="仿宋_GB2312"/>
                <w:color w:val="000000" w:themeColor="text1"/>
                <w:kern w:val="0"/>
                <w:sz w:val="24"/>
                <w:szCs w:val="24"/>
                <w14:textFill>
                  <w14:solidFill>
                    <w14:schemeClr w14:val="tx1"/>
                  </w14:solidFill>
                </w14:textFill>
              </w:rPr>
              <w:t>做好</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应急救援</w:t>
            </w:r>
            <w:r>
              <w:rPr>
                <w:rFonts w:hint="eastAsia" w:ascii="仿宋_GB2312" w:hAnsi="仿宋_GB2312" w:eastAsia="仿宋_GB2312" w:cs="仿宋_GB2312"/>
                <w:color w:val="000000" w:themeColor="text1"/>
                <w:kern w:val="0"/>
                <w:sz w:val="24"/>
                <w:szCs w:val="24"/>
                <w14:textFill>
                  <w14:solidFill>
                    <w14:schemeClr w14:val="tx1"/>
                  </w14:solidFill>
                </w14:textFill>
              </w:rPr>
              <w:t>资金</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拨付及</w:t>
            </w:r>
            <w:r>
              <w:rPr>
                <w:rFonts w:hint="eastAsia" w:ascii="仿宋_GB2312" w:hAnsi="仿宋_GB2312" w:eastAsia="仿宋_GB2312" w:cs="仿宋_GB2312"/>
                <w:color w:val="000000" w:themeColor="text1"/>
                <w:kern w:val="0"/>
                <w:sz w:val="24"/>
                <w:szCs w:val="24"/>
                <w14:textFill>
                  <w14:solidFill>
                    <w14:schemeClr w14:val="tx1"/>
                  </w14:solidFill>
                </w14:textFill>
              </w:rPr>
              <w:t>使用的监督管理工作。</w:t>
            </w:r>
          </w:p>
        </w:tc>
      </w:tr>
      <w:tr>
        <w:tblPrEx>
          <w:tblCellMar>
            <w:top w:w="0" w:type="dxa"/>
            <w:left w:w="108" w:type="dxa"/>
            <w:bottom w:w="0" w:type="dxa"/>
            <w:right w:w="108" w:type="dxa"/>
          </w:tblCellMar>
        </w:tblPrEx>
        <w:trPr>
          <w:trHeight w:val="454"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县发展和改革局</w:t>
            </w:r>
          </w:p>
        </w:tc>
        <w:tc>
          <w:tcPr>
            <w:tcW w:w="1138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b/>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负责协调落实</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级重要物资和应急储备物资动用计划和指令</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协调受灾</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区域</w:t>
            </w:r>
            <w:r>
              <w:rPr>
                <w:rFonts w:hint="eastAsia" w:ascii="仿宋_GB2312" w:hAnsi="仿宋_GB2312" w:eastAsia="仿宋_GB2312" w:cs="仿宋_GB2312"/>
                <w:color w:val="000000" w:themeColor="text1"/>
                <w:kern w:val="0"/>
                <w:sz w:val="24"/>
                <w:szCs w:val="24"/>
                <w14:textFill>
                  <w14:solidFill>
                    <w14:schemeClr w14:val="tx1"/>
                  </w14:solidFill>
                </w14:textFill>
              </w:rPr>
              <w:t>油气保障工作</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p>
        </w:tc>
      </w:tr>
    </w:tbl>
    <w:p>
      <w:pPr>
        <w:widowControl/>
        <w:jc w:val="center"/>
        <w:rPr>
          <w:rFonts w:hint="eastAsia" w:ascii="黑体" w:hAnsi="黑体" w:eastAsia="黑体" w:cs="黑体"/>
          <w:b w:val="0"/>
          <w:bCs w:val="0"/>
          <w:color w:val="000000" w:themeColor="text1"/>
          <w:kern w:val="0"/>
          <w:sz w:val="24"/>
          <w:szCs w:val="24"/>
          <w14:textFill>
            <w14:solidFill>
              <w14:schemeClr w14:val="tx1"/>
            </w14:solidFill>
          </w14:textFill>
        </w:rPr>
        <w:sectPr>
          <w:footerReference r:id="rId3" w:type="default"/>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5"/>
        <w:tblW w:w="14363" w:type="dxa"/>
        <w:jc w:val="center"/>
        <w:tblLayout w:type="fixed"/>
        <w:tblCellMar>
          <w:top w:w="0" w:type="dxa"/>
          <w:left w:w="108" w:type="dxa"/>
          <w:bottom w:w="0" w:type="dxa"/>
          <w:right w:w="108" w:type="dxa"/>
        </w:tblCellMar>
      </w:tblPr>
      <w:tblGrid>
        <w:gridCol w:w="2975"/>
        <w:gridCol w:w="11388"/>
      </w:tblGrid>
      <w:tr>
        <w:tblPrEx>
          <w:tblCellMar>
            <w:top w:w="0" w:type="dxa"/>
            <w:left w:w="108" w:type="dxa"/>
            <w:bottom w:w="0" w:type="dxa"/>
            <w:right w:w="108" w:type="dxa"/>
          </w:tblCellMar>
        </w:tblPrEx>
        <w:trPr>
          <w:trHeight w:val="510"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黑体" w:hAnsi="黑体" w:eastAsia="黑体" w:cs="黑体"/>
                <w:b w:val="0"/>
                <w:bCs w:val="0"/>
                <w:color w:val="000000" w:themeColor="text1"/>
                <w:kern w:val="0"/>
                <w:sz w:val="24"/>
                <w:szCs w:val="24"/>
                <w:lang w:val="en-US" w:eastAsia="zh-CN" w:bidi="ar-SA"/>
                <w14:textFill>
                  <w14:solidFill>
                    <w14:schemeClr w14:val="tx1"/>
                  </w14:solidFill>
                </w14:textFill>
              </w:rPr>
            </w:pPr>
            <w:r>
              <w:rPr>
                <w:rFonts w:hint="eastAsia" w:ascii="黑体" w:hAnsi="黑体" w:eastAsia="黑体" w:cs="黑体"/>
                <w:b w:val="0"/>
                <w:bCs w:val="0"/>
                <w:color w:val="000000" w:themeColor="text1"/>
                <w:kern w:val="0"/>
                <w:sz w:val="24"/>
                <w:szCs w:val="24"/>
                <w14:textFill>
                  <w14:solidFill>
                    <w14:schemeClr w14:val="tx1"/>
                  </w14:solidFill>
                </w14:textFill>
              </w:rPr>
              <w:t>单位名称</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val="0"/>
                <w:color w:val="000000" w:themeColor="text1"/>
                <w:kern w:val="0"/>
                <w:sz w:val="24"/>
                <w:szCs w:val="24"/>
                <w:lang w:val="en-US" w:eastAsia="zh-CN" w:bidi="ar-SA"/>
                <w14:textFill>
                  <w14:solidFill>
                    <w14:schemeClr w14:val="tx1"/>
                  </w14:solidFill>
                </w14:textFill>
              </w:rPr>
            </w:pPr>
            <w:r>
              <w:rPr>
                <w:rFonts w:hint="eastAsia" w:ascii="黑体" w:hAnsi="黑体" w:eastAsia="黑体" w:cs="黑体"/>
                <w:b w:val="0"/>
                <w:bCs w:val="0"/>
                <w:color w:val="000000" w:themeColor="text1"/>
                <w:kern w:val="0"/>
                <w:sz w:val="24"/>
                <w:szCs w:val="24"/>
                <w14:textFill>
                  <w14:solidFill>
                    <w14:schemeClr w14:val="tx1"/>
                  </w14:solidFill>
                </w14:textFill>
              </w:rPr>
              <w:t>主要职责</w:t>
            </w:r>
          </w:p>
        </w:tc>
      </w:tr>
      <w:tr>
        <w:tblPrEx>
          <w:tblCellMar>
            <w:top w:w="0" w:type="dxa"/>
            <w:left w:w="108" w:type="dxa"/>
            <w:bottom w:w="0" w:type="dxa"/>
            <w:right w:w="108" w:type="dxa"/>
          </w:tblCellMar>
        </w:tblPrEx>
        <w:trPr>
          <w:trHeight w:val="510"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工信和科技</w:t>
            </w:r>
            <w:r>
              <w:rPr>
                <w:rFonts w:hint="eastAsia" w:ascii="仿宋_GB2312" w:hAnsi="仿宋_GB2312" w:eastAsia="仿宋_GB2312" w:cs="仿宋_GB2312"/>
                <w:color w:val="000000" w:themeColor="text1"/>
                <w:kern w:val="0"/>
                <w:sz w:val="24"/>
                <w:szCs w:val="24"/>
                <w14:textFill>
                  <w14:solidFill>
                    <w14:schemeClr w14:val="tx1"/>
                  </w14:solidFill>
                </w14:textFill>
              </w:rPr>
              <w:t>局</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负责应急状态下重要</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救援</w:t>
            </w:r>
            <w:r>
              <w:rPr>
                <w:rFonts w:hint="eastAsia" w:ascii="仿宋_GB2312" w:hAnsi="仿宋_GB2312" w:eastAsia="仿宋_GB2312" w:cs="仿宋_GB2312"/>
                <w:color w:val="000000" w:themeColor="text1"/>
                <w:kern w:val="0"/>
                <w:sz w:val="24"/>
                <w:szCs w:val="24"/>
                <w14:textFill>
                  <w14:solidFill>
                    <w14:schemeClr w14:val="tx1"/>
                  </w14:solidFill>
                </w14:textFill>
              </w:rPr>
              <w:t>物资</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储备</w:t>
            </w:r>
            <w:r>
              <w:rPr>
                <w:rFonts w:hint="eastAsia" w:ascii="仿宋_GB2312" w:hAnsi="仿宋_GB2312" w:eastAsia="仿宋_GB2312" w:cs="仿宋_GB2312"/>
                <w:color w:val="000000" w:themeColor="text1"/>
                <w:kern w:val="0"/>
                <w:sz w:val="24"/>
                <w:szCs w:val="24"/>
                <w14:textFill>
                  <w14:solidFill>
                    <w14:schemeClr w14:val="tx1"/>
                  </w14:solidFill>
                </w14:textFill>
              </w:rPr>
              <w:t>组织工作。</w:t>
            </w:r>
          </w:p>
        </w:tc>
      </w:tr>
      <w:tr>
        <w:tblPrEx>
          <w:tblCellMar>
            <w:top w:w="0" w:type="dxa"/>
            <w:left w:w="108" w:type="dxa"/>
            <w:bottom w:w="0" w:type="dxa"/>
            <w:right w:w="108" w:type="dxa"/>
          </w:tblCellMar>
        </w:tblPrEx>
        <w:trPr>
          <w:trHeight w:val="510"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能源局</w:t>
            </w:r>
          </w:p>
        </w:tc>
        <w:tc>
          <w:tcPr>
            <w:tcW w:w="1138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负责</w:t>
            </w:r>
            <w:r>
              <w:rPr>
                <w:rFonts w:hint="eastAsia" w:ascii="仿宋_GB2312" w:hAnsi="仿宋_GB2312" w:eastAsia="仿宋_GB2312" w:cs="仿宋_GB2312"/>
                <w:color w:val="000000" w:themeColor="text1"/>
                <w:kern w:val="0"/>
                <w:sz w:val="24"/>
                <w:szCs w:val="24"/>
                <w14:textFill>
                  <w14:solidFill>
                    <w14:schemeClr w14:val="tx1"/>
                  </w14:solidFill>
                </w14:textFill>
              </w:rPr>
              <w:t>协调受灾</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区域电力</w:t>
            </w:r>
            <w:r>
              <w:rPr>
                <w:rFonts w:hint="eastAsia" w:ascii="仿宋_GB2312" w:hAnsi="仿宋_GB2312" w:eastAsia="仿宋_GB2312" w:cs="仿宋_GB2312"/>
                <w:color w:val="000000" w:themeColor="text1"/>
                <w:kern w:val="0"/>
                <w:sz w:val="24"/>
                <w:szCs w:val="24"/>
                <w14:textFill>
                  <w14:solidFill>
                    <w14:schemeClr w14:val="tx1"/>
                  </w14:solidFill>
                </w14:textFill>
              </w:rPr>
              <w:t>保障工作。</w:t>
            </w:r>
          </w:p>
        </w:tc>
      </w:tr>
      <w:tr>
        <w:tblPrEx>
          <w:tblCellMar>
            <w:top w:w="0" w:type="dxa"/>
            <w:left w:w="108" w:type="dxa"/>
            <w:bottom w:w="0" w:type="dxa"/>
            <w:right w:w="108" w:type="dxa"/>
          </w:tblCellMar>
        </w:tblPrEx>
        <w:trPr>
          <w:trHeight w:val="510"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卫</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生</w:t>
            </w:r>
            <w:r>
              <w:rPr>
                <w:rFonts w:hint="eastAsia" w:ascii="仿宋_GB2312" w:hAnsi="仿宋_GB2312" w:eastAsia="仿宋_GB2312" w:cs="仿宋_GB2312"/>
                <w:color w:val="000000" w:themeColor="text1"/>
                <w:kern w:val="0"/>
                <w:sz w:val="24"/>
                <w:szCs w:val="24"/>
                <w14:textFill>
                  <w14:solidFill>
                    <w14:schemeClr w14:val="tx1"/>
                  </w14:solidFill>
                </w14:textFill>
              </w:rPr>
              <w:t>健</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康局</w:t>
            </w:r>
          </w:p>
        </w:tc>
        <w:tc>
          <w:tcPr>
            <w:tcW w:w="1138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负责组织协调开展伤员救治、卫生防疫和健康教育、风险沟通等紧急医学救援及保障工作；根据指令和需求，协调调动周边县</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（市）</w:t>
            </w:r>
            <w:r>
              <w:rPr>
                <w:rFonts w:hint="eastAsia" w:ascii="仿宋_GB2312" w:hAnsi="仿宋_GB2312" w:eastAsia="仿宋_GB2312" w:cs="仿宋_GB2312"/>
                <w:color w:val="000000" w:themeColor="text1"/>
                <w:kern w:val="0"/>
                <w:sz w:val="24"/>
                <w:szCs w:val="24"/>
                <w14:textFill>
                  <w14:solidFill>
                    <w14:schemeClr w14:val="tx1"/>
                  </w14:solidFill>
                </w14:textFill>
              </w:rPr>
              <w:t xml:space="preserve">医疗卫生资源给予指导和援助。 </w:t>
            </w:r>
          </w:p>
        </w:tc>
      </w:tr>
      <w:tr>
        <w:tblPrEx>
          <w:tblCellMar>
            <w:top w:w="0" w:type="dxa"/>
            <w:left w:w="108" w:type="dxa"/>
            <w:bottom w:w="0" w:type="dxa"/>
            <w:right w:w="108" w:type="dxa"/>
          </w:tblCellMar>
        </w:tblPrEx>
        <w:trPr>
          <w:trHeight w:val="510"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教育</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体育</w:t>
            </w:r>
            <w:r>
              <w:rPr>
                <w:rFonts w:hint="eastAsia" w:ascii="仿宋_GB2312" w:hAnsi="仿宋_GB2312" w:eastAsia="仿宋_GB2312" w:cs="仿宋_GB2312"/>
                <w:color w:val="000000" w:themeColor="text1"/>
                <w:kern w:val="0"/>
                <w:sz w:val="24"/>
                <w:szCs w:val="24"/>
                <w14:textFill>
                  <w14:solidFill>
                    <w14:schemeClr w14:val="tx1"/>
                  </w14:solidFill>
                </w14:textFill>
              </w:rPr>
              <w:t>局</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负责指导</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全县</w:t>
            </w:r>
            <w:r>
              <w:rPr>
                <w:rFonts w:hint="eastAsia" w:ascii="仿宋_GB2312" w:hAnsi="仿宋_GB2312" w:eastAsia="仿宋_GB2312" w:cs="仿宋_GB2312"/>
                <w:color w:val="000000" w:themeColor="text1"/>
                <w:kern w:val="0"/>
                <w:sz w:val="24"/>
                <w:szCs w:val="24"/>
                <w14:textFill>
                  <w14:solidFill>
                    <w14:schemeClr w14:val="tx1"/>
                  </w14:solidFill>
                </w14:textFill>
              </w:rPr>
              <w:t>教育行政部门对学生进行气象灾害防治知识的宣传和教育；监督、检查</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全县</w:t>
            </w:r>
            <w:r>
              <w:rPr>
                <w:rFonts w:hint="eastAsia" w:ascii="仿宋_GB2312" w:hAnsi="仿宋_GB2312" w:eastAsia="仿宋_GB2312" w:cs="仿宋_GB2312"/>
                <w:color w:val="000000" w:themeColor="text1"/>
                <w:kern w:val="0"/>
                <w:sz w:val="24"/>
                <w:szCs w:val="24"/>
                <w14:textFill>
                  <w14:solidFill>
                    <w14:schemeClr w14:val="tx1"/>
                  </w14:solidFill>
                </w14:textFill>
              </w:rPr>
              <w:t>学校防汛、防风、防雷电等安全</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 xml:space="preserve">必要时组织实施避险疏散。 </w:t>
            </w:r>
          </w:p>
        </w:tc>
      </w:tr>
      <w:tr>
        <w:tblPrEx>
          <w:tblCellMar>
            <w:top w:w="0" w:type="dxa"/>
            <w:left w:w="108" w:type="dxa"/>
            <w:bottom w:w="0" w:type="dxa"/>
            <w:right w:w="108" w:type="dxa"/>
          </w:tblCellMar>
        </w:tblPrEx>
        <w:trPr>
          <w:trHeight w:val="510"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公安局</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负责气象灾害期间灾区的治安维护，对</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受</w:t>
            </w:r>
            <w:r>
              <w:rPr>
                <w:rFonts w:hint="eastAsia" w:ascii="仿宋_GB2312" w:hAnsi="仿宋_GB2312" w:eastAsia="仿宋_GB2312" w:cs="仿宋_GB2312"/>
                <w:color w:val="000000" w:themeColor="text1"/>
                <w:kern w:val="0"/>
                <w:sz w:val="24"/>
                <w:szCs w:val="24"/>
                <w14:textFill>
                  <w14:solidFill>
                    <w14:schemeClr w14:val="tx1"/>
                  </w14:solidFill>
                </w14:textFill>
              </w:rPr>
              <w:t>灾区</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域</w:t>
            </w:r>
            <w:r>
              <w:rPr>
                <w:rFonts w:hint="eastAsia" w:ascii="仿宋_GB2312" w:hAnsi="仿宋_GB2312" w:eastAsia="仿宋_GB2312" w:cs="仿宋_GB2312"/>
                <w:color w:val="000000" w:themeColor="text1"/>
                <w:kern w:val="0"/>
                <w:sz w:val="24"/>
                <w:szCs w:val="24"/>
                <w14:textFill>
                  <w14:solidFill>
                    <w14:schemeClr w14:val="tx1"/>
                  </w14:solidFill>
                </w14:textFill>
              </w:rPr>
              <w:t>及周边道路实施交通疏导，必要时采取交通管制，保障救援通道畅通。协助做好气象灾害应急人工影响天气作业所涉及的民用爆炸物品的运输审批工作。</w:t>
            </w:r>
          </w:p>
        </w:tc>
      </w:tr>
      <w:tr>
        <w:tblPrEx>
          <w:tblCellMar>
            <w:top w:w="0" w:type="dxa"/>
            <w:left w:w="108" w:type="dxa"/>
            <w:bottom w:w="0" w:type="dxa"/>
            <w:right w:w="108" w:type="dxa"/>
          </w:tblCellMar>
        </w:tblPrEx>
        <w:trPr>
          <w:trHeight w:val="510"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县人武部</w:t>
            </w:r>
          </w:p>
        </w:tc>
        <w:tc>
          <w:tcPr>
            <w:tcW w:w="11388"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负责组织</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带领民兵</w:t>
            </w:r>
            <w:r>
              <w:rPr>
                <w:rFonts w:hint="eastAsia" w:ascii="仿宋_GB2312" w:hAnsi="仿宋_GB2312" w:eastAsia="仿宋_GB2312" w:cs="仿宋_GB2312"/>
                <w:color w:val="000000" w:themeColor="text1"/>
                <w:kern w:val="0"/>
                <w:sz w:val="24"/>
                <w:szCs w:val="24"/>
                <w14:textFill>
                  <w14:solidFill>
                    <w14:schemeClr w14:val="tx1"/>
                  </w14:solidFill>
                </w14:textFill>
              </w:rPr>
              <w:t>参加抢险救灾；配合公安机关维护当地社会秩序，保卫重要目标。</w:t>
            </w:r>
          </w:p>
        </w:tc>
      </w:tr>
      <w:tr>
        <w:tblPrEx>
          <w:tblCellMar>
            <w:top w:w="0" w:type="dxa"/>
            <w:left w:w="108" w:type="dxa"/>
            <w:bottom w:w="0" w:type="dxa"/>
            <w:right w:w="108" w:type="dxa"/>
          </w:tblCellMar>
        </w:tblPrEx>
        <w:trPr>
          <w:trHeight w:val="510"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自然资源局</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Style w:val="7"/>
                <w:rFonts w:hint="eastAsia" w:ascii="仿宋_GB2312" w:hAnsi="仿宋_GB2312" w:eastAsia="仿宋_GB2312" w:cs="仿宋_GB2312"/>
                <w:color w:val="000000" w:themeColor="text1"/>
                <w:sz w:val="24"/>
                <w:szCs w:val="24"/>
                <w14:textFill>
                  <w14:solidFill>
                    <w14:schemeClr w14:val="tx1"/>
                  </w14:solidFill>
                </w14:textFill>
              </w:rPr>
              <w:t>负责指导开展地质灾害防治，开展群测群防，组织进行地质灾害应急调查。负责提供气象灾害发生地现场卫星及无人机获取的遥感影像资料，提供反映地形、地势、交通、河流、村落、植被覆盖等现状的电子地图信息</w:t>
            </w:r>
            <w:r>
              <w:rPr>
                <w:rStyle w:val="7"/>
                <w:rFonts w:hint="eastAsia" w:ascii="仿宋_GB2312" w:hAnsi="仿宋_GB2312" w:eastAsia="仿宋_GB2312" w:cs="仿宋_GB2312"/>
                <w:color w:val="000000" w:themeColor="text1"/>
                <w:sz w:val="24"/>
                <w:szCs w:val="24"/>
                <w:lang w:eastAsia="zh-CN"/>
                <w14:textFill>
                  <w14:solidFill>
                    <w14:schemeClr w14:val="tx1"/>
                  </w14:solidFill>
                </w14:textFill>
              </w:rPr>
              <w:t>。与县</w:t>
            </w:r>
            <w:r>
              <w:rPr>
                <w:rStyle w:val="7"/>
                <w:rFonts w:hint="eastAsia" w:ascii="仿宋_GB2312" w:hAnsi="仿宋_GB2312" w:eastAsia="仿宋_GB2312" w:cs="仿宋_GB2312"/>
                <w:color w:val="000000" w:themeColor="text1"/>
                <w:sz w:val="24"/>
                <w:szCs w:val="24"/>
                <w14:textFill>
                  <w14:solidFill>
                    <w14:schemeClr w14:val="tx1"/>
                  </w14:solidFill>
                </w14:textFill>
              </w:rPr>
              <w:t>气象</w:t>
            </w:r>
            <w:r>
              <w:rPr>
                <w:rStyle w:val="7"/>
                <w:rFonts w:hint="eastAsia" w:ascii="仿宋_GB2312" w:hAnsi="仿宋_GB2312" w:eastAsia="仿宋_GB2312" w:cs="仿宋_GB2312"/>
                <w:color w:val="000000" w:themeColor="text1"/>
                <w:sz w:val="24"/>
                <w:szCs w:val="24"/>
                <w:lang w:eastAsia="zh-CN"/>
                <w14:textFill>
                  <w14:solidFill>
                    <w14:schemeClr w14:val="tx1"/>
                  </w14:solidFill>
                </w14:textFill>
              </w:rPr>
              <w:t>局联合发布</w:t>
            </w:r>
            <w:r>
              <w:rPr>
                <w:rStyle w:val="7"/>
                <w:rFonts w:hint="eastAsia" w:ascii="仿宋_GB2312" w:hAnsi="仿宋_GB2312" w:eastAsia="仿宋_GB2312" w:cs="仿宋_GB2312"/>
                <w:color w:val="000000" w:themeColor="text1"/>
                <w:sz w:val="24"/>
                <w:szCs w:val="24"/>
                <w14:textFill>
                  <w14:solidFill>
                    <w14:schemeClr w14:val="tx1"/>
                  </w14:solidFill>
                </w14:textFill>
              </w:rPr>
              <w:t>地质灾害气象风险预警信息</w:t>
            </w:r>
            <w:r>
              <w:rPr>
                <w:rStyle w:val="7"/>
                <w:rFonts w:hint="eastAsia" w:ascii="仿宋_GB2312" w:hAnsi="仿宋_GB2312" w:eastAsia="仿宋_GB2312" w:cs="仿宋_GB2312"/>
                <w:color w:val="000000" w:themeColor="text1"/>
                <w:sz w:val="24"/>
                <w:szCs w:val="24"/>
                <w:lang w:eastAsia="zh-CN"/>
                <w14:textFill>
                  <w14:solidFill>
                    <w14:schemeClr w14:val="tx1"/>
                  </w14:solidFill>
                </w14:textFill>
              </w:rPr>
              <w:t>并上报指挥部。</w:t>
            </w:r>
          </w:p>
        </w:tc>
      </w:tr>
      <w:tr>
        <w:tblPrEx>
          <w:tblCellMar>
            <w:top w:w="0" w:type="dxa"/>
            <w:left w:w="108" w:type="dxa"/>
            <w:bottom w:w="0" w:type="dxa"/>
            <w:right w:w="108" w:type="dxa"/>
          </w:tblCellMar>
        </w:tblPrEx>
        <w:trPr>
          <w:trHeight w:val="510"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市</w:t>
            </w:r>
            <w:r>
              <w:rPr>
                <w:rFonts w:hint="eastAsia" w:ascii="仿宋_GB2312" w:hAnsi="仿宋_GB2312" w:eastAsia="仿宋_GB2312" w:cs="仿宋_GB2312"/>
                <w:color w:val="000000" w:themeColor="text1"/>
                <w:kern w:val="0"/>
                <w:sz w:val="24"/>
                <w:szCs w:val="24"/>
                <w14:textFill>
                  <w14:solidFill>
                    <w14:schemeClr w14:val="tx1"/>
                  </w14:solidFill>
                </w14:textFill>
              </w:rPr>
              <w:t>生态环境</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局交城分</w:t>
            </w:r>
            <w:r>
              <w:rPr>
                <w:rFonts w:hint="eastAsia" w:ascii="仿宋_GB2312" w:hAnsi="仿宋_GB2312" w:eastAsia="仿宋_GB2312" w:cs="仿宋_GB2312"/>
                <w:color w:val="000000" w:themeColor="text1"/>
                <w:kern w:val="0"/>
                <w:sz w:val="24"/>
                <w:szCs w:val="24"/>
                <w14:textFill>
                  <w14:solidFill>
                    <w14:schemeClr w14:val="tx1"/>
                  </w14:solidFill>
                </w14:textFill>
              </w:rPr>
              <w:t>局</w:t>
            </w:r>
          </w:p>
        </w:tc>
        <w:tc>
          <w:tcPr>
            <w:tcW w:w="1138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及时向</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气象灾害应急指挥部提供和交换环境监测等信息；根据气象条件引发重污染情况，及时组织应急处置。</w:t>
            </w:r>
          </w:p>
        </w:tc>
      </w:tr>
      <w:tr>
        <w:tblPrEx>
          <w:tblCellMar>
            <w:top w:w="0" w:type="dxa"/>
            <w:left w:w="108" w:type="dxa"/>
            <w:bottom w:w="0" w:type="dxa"/>
            <w:right w:w="108" w:type="dxa"/>
          </w:tblCellMar>
        </w:tblPrEx>
        <w:trPr>
          <w:trHeight w:val="981"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县住房和城乡建设管理</w:t>
            </w:r>
            <w:r>
              <w:rPr>
                <w:rFonts w:hint="eastAsia" w:ascii="仿宋_GB2312" w:hAnsi="仿宋_GB2312" w:eastAsia="仿宋_GB2312" w:cs="仿宋_GB2312"/>
                <w:color w:val="000000" w:themeColor="text1"/>
                <w:kern w:val="0"/>
                <w:sz w:val="24"/>
                <w:szCs w:val="24"/>
                <w14:textFill>
                  <w14:solidFill>
                    <w14:schemeClr w14:val="tx1"/>
                  </w14:solidFill>
                </w14:textFill>
              </w:rPr>
              <w:t>局</w:t>
            </w:r>
          </w:p>
        </w:tc>
        <w:tc>
          <w:tcPr>
            <w:tcW w:w="1138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及时向</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气象灾害应急指挥部提供</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城区</w:t>
            </w:r>
            <w:r>
              <w:rPr>
                <w:rFonts w:hint="eastAsia" w:ascii="仿宋_GB2312" w:hAnsi="仿宋_GB2312" w:eastAsia="仿宋_GB2312" w:cs="仿宋_GB2312"/>
                <w:color w:val="000000" w:themeColor="text1"/>
                <w:kern w:val="0"/>
                <w:sz w:val="24"/>
                <w:szCs w:val="24"/>
                <w14:textFill>
                  <w14:solidFill>
                    <w14:schemeClr w14:val="tx1"/>
                  </w14:solidFill>
                </w14:textFill>
              </w:rPr>
              <w:t>内涝监测等信息；负责指导各地住房和城乡建设主管部门做好对房屋建筑和</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市政</w:t>
            </w:r>
            <w:r>
              <w:rPr>
                <w:rFonts w:hint="eastAsia" w:ascii="仿宋_GB2312" w:hAnsi="仿宋_GB2312" w:eastAsia="仿宋_GB2312" w:cs="仿宋_GB2312"/>
                <w:color w:val="000000" w:themeColor="text1"/>
                <w:kern w:val="0"/>
                <w:sz w:val="24"/>
                <w:szCs w:val="24"/>
                <w14:textFill>
                  <w14:solidFill>
                    <w14:schemeClr w14:val="tx1"/>
                  </w14:solidFill>
                </w14:textFill>
              </w:rPr>
              <w:t>基础设施工程气象灾害防御设施的检查和落实工作；做好对受灾房屋和</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市政</w:t>
            </w:r>
            <w:r>
              <w:rPr>
                <w:rFonts w:hint="eastAsia" w:ascii="仿宋_GB2312" w:hAnsi="仿宋_GB2312" w:eastAsia="仿宋_GB2312" w:cs="仿宋_GB2312"/>
                <w:color w:val="000000" w:themeColor="text1"/>
                <w:kern w:val="0"/>
                <w:sz w:val="24"/>
                <w:szCs w:val="24"/>
                <w14:textFill>
                  <w14:solidFill>
                    <w14:schemeClr w14:val="tx1"/>
                  </w14:solidFill>
                </w14:textFill>
              </w:rPr>
              <w:t>基础设施工程的损害程度评估；负责监督指导灾后恢复重建工作。</w:t>
            </w:r>
          </w:p>
        </w:tc>
      </w:tr>
      <w:tr>
        <w:tblPrEx>
          <w:tblCellMar>
            <w:top w:w="0" w:type="dxa"/>
            <w:left w:w="108" w:type="dxa"/>
            <w:bottom w:w="0" w:type="dxa"/>
            <w:right w:w="108" w:type="dxa"/>
          </w:tblCellMar>
        </w:tblPrEx>
        <w:trPr>
          <w:trHeight w:val="1041"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黑体" w:hAnsi="黑体" w:eastAsia="黑体" w:cs="黑体"/>
                <w:color w:val="000000"/>
                <w:sz w:val="32"/>
                <w:szCs w:val="32"/>
              </w:rPr>
              <mc:AlternateContent>
                <mc:Choice Requires="wps">
                  <w:drawing>
                    <wp:anchor distT="0" distB="0" distL="114300" distR="114300" simplePos="0" relativeHeight="251660288" behindDoc="1" locked="0" layoutInCell="1" allowOverlap="1">
                      <wp:simplePos x="0" y="0"/>
                      <wp:positionH relativeFrom="column">
                        <wp:posOffset>-3848735</wp:posOffset>
                      </wp:positionH>
                      <wp:positionV relativeFrom="paragraph">
                        <wp:posOffset>292100</wp:posOffset>
                      </wp:positionV>
                      <wp:extent cx="3844925" cy="848995"/>
                      <wp:effectExtent l="0" t="0" r="3175" b="8255"/>
                      <wp:wrapNone/>
                      <wp:docPr id="72" name="文本框 72"/>
                      <wp:cNvGraphicFramePr/>
                      <a:graphic xmlns:a="http://schemas.openxmlformats.org/drawingml/2006/main">
                        <a:graphicData uri="http://schemas.microsoft.com/office/word/2010/wordprocessingShape">
                          <wps:wsp>
                            <wps:cNvSpPr txBox="1"/>
                            <wps:spPr>
                              <a:xfrm>
                                <a:off x="-3021965" y="5942965"/>
                                <a:ext cx="3835400" cy="792480"/>
                              </a:xfrm>
                              <a:prstGeom prst="rect">
                                <a:avLst/>
                              </a:prstGeom>
                              <a:gradFill rotWithShape="0">
                                <a:gsLst>
                                  <a:gs pos="0">
                                    <a:srgbClr val="FFFFFF"/>
                                  </a:gs>
                                  <a:gs pos="100000">
                                    <a:srgbClr val="FFFFFF"/>
                                  </a:gs>
                                </a:gsLst>
                                <a:lin ang="0"/>
                                <a:tileRect/>
                              </a:gradFill>
                              <a:ln w="15875">
                                <a:noFill/>
                              </a:ln>
                              <a:effectLst/>
                            </wps:spPr>
                            <wps:txbx>
                              <w:txbxContent>
                                <w:p>
                                  <w:pPr>
                                    <w:rPr>
                                      <w:rFonts w:hint="eastAsia" w:ascii="宋体" w:hAnsi="宋体" w:eastAsia="宋体" w:cs="宋体"/>
                                      <w:sz w:val="28"/>
                                      <w:szCs w:val="28"/>
                                      <w:lang w:val="en-US" w:eastAsia="zh-CN"/>
                                    </w:rPr>
                                  </w:pPr>
                                  <w:r>
                                    <w:rPr>
                                      <w:rFonts w:hint="eastAsia" w:ascii="宋体" w:hAnsi="宋体" w:cs="宋体"/>
                                      <w:sz w:val="28"/>
                                      <w:szCs w:val="28"/>
                                      <w:lang w:val="en-US" w:eastAsia="zh-CN"/>
                                    </w:rPr>
                                    <w:t>—</w:t>
                                  </w:r>
                                  <w:r>
                                    <w:rPr>
                                      <w:rFonts w:hint="eastAsia" w:ascii="宋体" w:hAnsi="宋体" w:eastAsia="宋体" w:cs="宋体"/>
                                      <w:sz w:val="28"/>
                                      <w:szCs w:val="28"/>
                                      <w:lang w:val="en-US" w:eastAsia="zh-CN"/>
                                    </w:rPr>
                                    <w:t xml:space="preserve"> 15 </w:t>
                                  </w:r>
                                  <w:r>
                                    <w:rPr>
                                      <w:rFonts w:hint="eastAsia" w:ascii="宋体" w:hAnsi="宋体" w:cs="宋体"/>
                                      <w:sz w:val="28"/>
                                      <w:szCs w:val="28"/>
                                      <w:lang w:val="en-US" w:eastAsia="zh-CN"/>
                                    </w:rPr>
                                    <w:t>—</w:t>
                                  </w:r>
                                </w:p>
                              </w:txbxContent>
                            </wps:txbx>
                            <wps:bodyPr vert="eaVert" wrap="square" upright="1"/>
                          </wps:wsp>
                        </a:graphicData>
                      </a:graphic>
                    </wp:anchor>
                  </w:drawing>
                </mc:Choice>
                <mc:Fallback>
                  <w:pict>
                    <v:shape id="_x0000_s1026" o:spid="_x0000_s1026" o:spt="202" type="#_x0000_t202" style="position:absolute;left:0pt;margin-left:-303.05pt;margin-top:23pt;height:66.85pt;width:302.75pt;z-index:-251656192;mso-width-relative:page;mso-height-relative:page;" fillcolor="#FFFFFF" filled="t" stroked="f" coordsize="21600,21600" o:gfxdata="UEsFBgAAAAAAAAAAAAAAAAAAAAAAAFBLAwQKAAAAAACHTuJAAAAAAAAAAAAAAAAABAAAAGRycy9Q&#10;SwMEFAAAAAgAh07iQITFnV/YAAAACQEAAA8AAABkcnMvZG93bnJldi54bWxNj8FOwzAQRO9I/IO1&#10;SFxQagdBAiFOJZDggmihIM5uvCSBeB3Zbhv+nuUEx9U+zbypl7MbxR5DHDxpyBcKBFLr7UCdhrfX&#10;++wKREyGrBk9oYZvjLBsjo9qU1l/oBfcb1InOIRiZTT0KU2VlLHt0Zm48BMS/z58cCbxGTppgzlw&#10;uBvluVKFdGYgbujNhHc9tl+bndNQzuvnT/+4fprDbTKXDys6e89J69OTXN2ASDinPxh+9VkdGnba&#10;+h3ZKEYNWaGKnFkNFwWPYiIrQGwZLK9LkE0t/y9ofgBQSwMEFAAAAAgAh07iQC3fUkkmAgAAQQQA&#10;AA4AAABkcnMvZTJvRG9jLnhtbK1TzY7TMBC+I/EOlu/bpGm7/VHTlaAqFwSIZZez6ziJJcc2Y7dJ&#10;XwDegBMX7jxXn4Oxk12qRUJ7IIdkMjP+Zr5vxuubrlHkKMBJo3M6HqWUCM1NIXWV07tPu6sFJc4z&#10;XTBltMjpSTh6s3n5Yt3alchMbVQhgCCIdqvW5rT23q6SxPFaNMyNjBUag6WBhnn8hSopgLWI3qgk&#10;S9PrpDVQWDBcOIfebR+kAyI8B9CUpeRia/ihEdr3qCAU80jJ1dI6uondlqXg/n1ZOuGJyiky9fGN&#10;RdDeh3eyWbNVBczWkg8tsOe08IRTw6TGoo9QW+YZOYD8C6qRHIwzpR9x0yQ9kagIshinT7S5rZkV&#10;kQtK7eyj6O7/wfJ3xw9AZJHTeUaJZg1O/Pz92/nHr/PPrwR9KFBr3Qrzbi1m+u6V6XBtHvwOnYF3&#10;V0ITvsiIYPxqkmbj5fWMklNOZ8tpFuyoteg84ZgxWUxm0xTHwDFjvsymiziM5A+UBeffCNOQYOQU&#10;cJZRYnZ86zxiYepDyqB8sZNKETD+s/R1FC+MOAYdnukNYg3q17sdVPvXCsiR4Xrs4hO6ROTKXWaP&#10;0/BEpH8fiSeHUkpqwsKlGrbMSyU+IomhALDYbiijNGlR09liPos1tAlE+jylQ4aIqzzwDvPodQ+W&#10;7/YdpgZzb4oTzggvN+ol2D1+KWlxuXPqvhwYCEoOFmRVYzhOMAmncLN6yv0tCKt7+Y/25c3f/A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ihRmPNEAAACUAQAACwAAAAAAAAABACAAAACzAwAA&#10;X3JlbHMvLnJlbHNQSwECFAAUAAAACACHTuJAfublIPcAAADhAQAAEwAAAAAAAAABACAAAACtBAAA&#10;W0NvbnRlbnRfVHlwZXNdLnhtbFBLAQIUAAoAAAAAAIdO4kAAAAAAAAAAAAAAAAAGAAAAAAAAAAAA&#10;EAAAAI8DAABfcmVscy9QSwECFAAUAAAACACHTuJALd9SSSYCAABBBAAADgAAAAAAAAABACAAAAA9&#10;AQAAZHJzL2Uyb0RvYy54bWxQSwECFAAUAAAACACHTuJAhMWdX9gAAAAJAQAADwAAAAAAAAABACAA&#10;AAA4AAAAZHJzL2Rvd25yZXYueG1sUEsBAhQACgAAAAAAh07iQAAAAAAAAAAAAAAAAAQAAAAAAAAA&#10;AAAQAAAAFgAAAGRycy9QSwUGAAAAAAYABgBZAQAA1QU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cs="宋体"/>
                                <w:sz w:val="28"/>
                                <w:szCs w:val="28"/>
                                <w:lang w:val="en-US" w:eastAsia="zh-CN"/>
                              </w:rPr>
                              <w:t>—</w:t>
                            </w:r>
                            <w:r>
                              <w:rPr>
                                <w:rFonts w:hint="eastAsia" w:ascii="宋体" w:hAnsi="宋体" w:eastAsia="宋体" w:cs="宋体"/>
                                <w:sz w:val="28"/>
                                <w:szCs w:val="28"/>
                                <w:lang w:val="en-US" w:eastAsia="zh-CN"/>
                              </w:rPr>
                              <w:t xml:space="preserve"> 15 </w:t>
                            </w:r>
                            <w:r>
                              <w:rPr>
                                <w:rFonts w:hint="eastAsia" w:ascii="宋体" w:hAnsi="宋体" w:cs="宋体"/>
                                <w:sz w:val="28"/>
                                <w:szCs w:val="28"/>
                                <w:lang w:val="en-US" w:eastAsia="zh-CN"/>
                              </w:rPr>
                              <w:t>—</w:t>
                            </w:r>
                          </w:p>
                        </w:txbxContent>
                      </v:textbox>
                    </v:shape>
                  </w:pict>
                </mc:Fallback>
              </mc:AlternateConten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农业农村局</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及时向</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气象灾害应急指挥部提供农牧业生产受影响情况，对农业生产及相关设施等采取紧急处置措施，并加强监控。负责组织灾区动物疫病的预防、控制和扑灭工作，加强动物疫情的监测，切实采取有效措施，防止和控制动物疫病的暴发流行。</w:t>
            </w:r>
          </w:p>
        </w:tc>
      </w:tr>
      <w:tr>
        <w:tblPrEx>
          <w:tblCellMar>
            <w:top w:w="0" w:type="dxa"/>
            <w:left w:w="108" w:type="dxa"/>
            <w:bottom w:w="0" w:type="dxa"/>
            <w:right w:w="108" w:type="dxa"/>
          </w:tblCellMar>
        </w:tblPrEx>
        <w:trPr>
          <w:trHeight w:val="510"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县林业局</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及时向</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指挥部反馈林草火情，根据火点监测和火险气象条件等，加强对高火险地区和其他灾害性天气对林业生产生活影响的监控。</w:t>
            </w:r>
          </w:p>
        </w:tc>
      </w:tr>
    </w:tbl>
    <w:p>
      <w:pPr>
        <w:widowControl/>
        <w:jc w:val="center"/>
        <w:rPr>
          <w:rFonts w:hint="eastAsia" w:ascii="黑体" w:hAnsi="黑体" w:eastAsia="黑体" w:cs="黑体"/>
          <w:b w:val="0"/>
          <w:bCs w:val="0"/>
          <w:color w:val="000000" w:themeColor="text1"/>
          <w:kern w:val="0"/>
          <w:sz w:val="24"/>
          <w:szCs w:val="24"/>
          <w14:textFill>
            <w14:solidFill>
              <w14:schemeClr w14:val="tx1"/>
            </w14:solidFill>
          </w14:textFill>
        </w:rPr>
        <w:sectPr>
          <w:footerReference r:id="rId4" w:type="default"/>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5"/>
        <w:tblW w:w="14363" w:type="dxa"/>
        <w:jc w:val="center"/>
        <w:tblLayout w:type="fixed"/>
        <w:tblCellMar>
          <w:top w:w="0" w:type="dxa"/>
          <w:left w:w="108" w:type="dxa"/>
          <w:bottom w:w="0" w:type="dxa"/>
          <w:right w:w="108" w:type="dxa"/>
        </w:tblCellMar>
      </w:tblPr>
      <w:tblGrid>
        <w:gridCol w:w="2975"/>
        <w:gridCol w:w="11388"/>
      </w:tblGrid>
      <w:tr>
        <w:tblPrEx>
          <w:tblCellMar>
            <w:top w:w="0" w:type="dxa"/>
            <w:left w:w="108" w:type="dxa"/>
            <w:bottom w:w="0" w:type="dxa"/>
            <w:right w:w="108" w:type="dxa"/>
          </w:tblCellMar>
        </w:tblPrEx>
        <w:trPr>
          <w:trHeight w:val="567"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黑体" w:hAnsi="黑体" w:eastAsia="黑体" w:cs="黑体"/>
                <w:b w:val="0"/>
                <w:bCs w:val="0"/>
                <w:color w:val="000000" w:themeColor="text1"/>
                <w:kern w:val="0"/>
                <w:sz w:val="24"/>
                <w:szCs w:val="24"/>
                <w:lang w:val="en-US" w:eastAsia="zh-CN" w:bidi="ar-SA"/>
                <w14:textFill>
                  <w14:solidFill>
                    <w14:schemeClr w14:val="tx1"/>
                  </w14:solidFill>
                </w14:textFill>
              </w:rPr>
            </w:pPr>
            <w:r>
              <w:rPr>
                <w:rFonts w:hint="eastAsia" w:ascii="黑体" w:hAnsi="黑体" w:eastAsia="黑体" w:cs="黑体"/>
                <w:b w:val="0"/>
                <w:bCs w:val="0"/>
                <w:color w:val="000000" w:themeColor="text1"/>
                <w:kern w:val="0"/>
                <w:sz w:val="24"/>
                <w:szCs w:val="24"/>
                <w14:textFill>
                  <w14:solidFill>
                    <w14:schemeClr w14:val="tx1"/>
                  </w14:solidFill>
                </w14:textFill>
              </w:rPr>
              <w:t>单位名称</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val="0"/>
                <w:color w:val="000000" w:themeColor="text1"/>
                <w:kern w:val="0"/>
                <w:sz w:val="24"/>
                <w:szCs w:val="24"/>
                <w:lang w:val="en-US" w:eastAsia="zh-CN" w:bidi="ar-SA"/>
                <w14:textFill>
                  <w14:solidFill>
                    <w14:schemeClr w14:val="tx1"/>
                  </w14:solidFill>
                </w14:textFill>
              </w:rPr>
            </w:pPr>
            <w:r>
              <w:rPr>
                <w:rFonts w:hint="eastAsia" w:ascii="黑体" w:hAnsi="黑体" w:eastAsia="黑体" w:cs="黑体"/>
                <w:b w:val="0"/>
                <w:bCs w:val="0"/>
                <w:color w:val="000000" w:themeColor="text1"/>
                <w:kern w:val="0"/>
                <w:sz w:val="24"/>
                <w:szCs w:val="24"/>
                <w14:textFill>
                  <w14:solidFill>
                    <w14:schemeClr w14:val="tx1"/>
                  </w14:solidFill>
                </w14:textFill>
              </w:rPr>
              <w:t>主要职责</w:t>
            </w:r>
          </w:p>
        </w:tc>
      </w:tr>
      <w:tr>
        <w:tblPrEx>
          <w:tblCellMar>
            <w:top w:w="0" w:type="dxa"/>
            <w:left w:w="108" w:type="dxa"/>
            <w:bottom w:w="0" w:type="dxa"/>
            <w:right w:w="108" w:type="dxa"/>
          </w:tblCellMar>
        </w:tblPrEx>
        <w:trPr>
          <w:trHeight w:val="749"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交通</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运输</w:t>
            </w:r>
            <w:r>
              <w:rPr>
                <w:rFonts w:hint="eastAsia" w:ascii="仿宋_GB2312" w:hAnsi="仿宋_GB2312" w:eastAsia="仿宋_GB2312" w:cs="仿宋_GB2312"/>
                <w:color w:val="000000" w:themeColor="text1"/>
                <w:kern w:val="0"/>
                <w:sz w:val="24"/>
                <w:szCs w:val="24"/>
                <w14:textFill>
                  <w14:solidFill>
                    <w14:schemeClr w14:val="tx1"/>
                  </w14:solidFill>
                </w14:textFill>
              </w:rPr>
              <w:t>局</w:t>
            </w:r>
          </w:p>
        </w:tc>
        <w:tc>
          <w:tcPr>
            <w:tcW w:w="1138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及时向</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气象灾害应急指挥部提供交通运输受气象灾害影响情况，尽快恢复被破坏的农村公路，保障公路通行，协助征用应急运输车辆做好抢险救援人员、物资和灾民疏散的运输工作。</w:t>
            </w:r>
          </w:p>
        </w:tc>
      </w:tr>
      <w:tr>
        <w:tblPrEx>
          <w:tblCellMar>
            <w:top w:w="0" w:type="dxa"/>
            <w:left w:w="108" w:type="dxa"/>
            <w:bottom w:w="0" w:type="dxa"/>
            <w:right w:w="108" w:type="dxa"/>
          </w:tblCellMar>
        </w:tblPrEx>
        <w:trPr>
          <w:trHeight w:val="734"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县公路段</w:t>
            </w:r>
          </w:p>
        </w:tc>
        <w:tc>
          <w:tcPr>
            <w:tcW w:w="1138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及时向</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气象灾害应急指挥部提供</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国省道</w:t>
            </w:r>
            <w:r>
              <w:rPr>
                <w:rFonts w:hint="eastAsia" w:ascii="仿宋_GB2312" w:hAnsi="仿宋_GB2312" w:eastAsia="仿宋_GB2312" w:cs="仿宋_GB2312"/>
                <w:color w:val="000000" w:themeColor="text1"/>
                <w:kern w:val="0"/>
                <w:sz w:val="24"/>
                <w:szCs w:val="24"/>
                <w14:textFill>
                  <w14:solidFill>
                    <w14:schemeClr w14:val="tx1"/>
                  </w14:solidFill>
                </w14:textFill>
              </w:rPr>
              <w:t>交通运输受气象灾害影响情况，尽快恢复被破坏的公路，保障公路通行，协助征用应急运输车辆做好抢险救援人员、物资和灾民疏散的运输工作。</w:t>
            </w:r>
          </w:p>
        </w:tc>
      </w:tr>
      <w:tr>
        <w:tblPrEx>
          <w:tblCellMar>
            <w:top w:w="0" w:type="dxa"/>
            <w:left w:w="108" w:type="dxa"/>
            <w:bottom w:w="0" w:type="dxa"/>
            <w:right w:w="108" w:type="dxa"/>
          </w:tblCellMar>
        </w:tblPrEx>
        <w:trPr>
          <w:trHeight w:val="567"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水利局</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负责水情和工情的监测，负责对水利工程设施等进行监控和管理。</w:t>
            </w:r>
          </w:p>
        </w:tc>
      </w:tr>
      <w:tr>
        <w:tblPrEx>
          <w:tblCellMar>
            <w:top w:w="0" w:type="dxa"/>
            <w:left w:w="108" w:type="dxa"/>
            <w:bottom w:w="0" w:type="dxa"/>
            <w:right w:w="108" w:type="dxa"/>
          </w:tblCellMar>
        </w:tblPrEx>
        <w:trPr>
          <w:trHeight w:val="567"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文</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化和</w:t>
            </w:r>
            <w:r>
              <w:rPr>
                <w:rFonts w:hint="eastAsia" w:ascii="仿宋_GB2312" w:hAnsi="仿宋_GB2312" w:eastAsia="仿宋_GB2312" w:cs="仿宋_GB2312"/>
                <w:color w:val="000000" w:themeColor="text1"/>
                <w:kern w:val="0"/>
                <w:sz w:val="24"/>
                <w:szCs w:val="24"/>
                <w14:textFill>
                  <w14:solidFill>
                    <w14:schemeClr w14:val="tx1"/>
                  </w14:solidFill>
                </w14:textFill>
              </w:rPr>
              <w:t>旅</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游</w:t>
            </w:r>
            <w:r>
              <w:rPr>
                <w:rFonts w:hint="eastAsia" w:ascii="仿宋_GB2312" w:hAnsi="仿宋_GB2312" w:eastAsia="仿宋_GB2312" w:cs="仿宋_GB2312"/>
                <w:color w:val="000000" w:themeColor="text1"/>
                <w:kern w:val="0"/>
                <w:sz w:val="24"/>
                <w:szCs w:val="24"/>
                <w14:textFill>
                  <w14:solidFill>
                    <w14:schemeClr w14:val="tx1"/>
                  </w14:solidFill>
                </w14:textFill>
              </w:rPr>
              <w:t>局</w:t>
            </w:r>
          </w:p>
        </w:tc>
        <w:tc>
          <w:tcPr>
            <w:tcW w:w="1138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指导</w:t>
            </w:r>
            <w:r>
              <w:rPr>
                <w:rFonts w:hint="eastAsia" w:ascii="仿宋_GB2312" w:hAnsi="仿宋_GB2312" w:eastAsia="仿宋_GB2312" w:cs="仿宋_GB2312"/>
                <w:color w:val="000000" w:themeColor="text1"/>
                <w:kern w:val="0"/>
                <w:sz w:val="24"/>
                <w:szCs w:val="24"/>
                <w14:textFill>
                  <w14:solidFill>
                    <w14:schemeClr w14:val="tx1"/>
                  </w14:solidFill>
                </w14:textFill>
              </w:rPr>
              <w:t>景区做好气象灾害防御工作，明确气象灾害防御重点。</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协助</w:t>
            </w:r>
            <w:r>
              <w:rPr>
                <w:rFonts w:hint="eastAsia" w:ascii="仿宋_GB2312" w:hAnsi="仿宋_GB2312" w:eastAsia="仿宋_GB2312" w:cs="仿宋_GB2312"/>
                <w:color w:val="000000" w:themeColor="text1"/>
                <w:kern w:val="0"/>
                <w:sz w:val="24"/>
                <w:szCs w:val="24"/>
                <w14:textFill>
                  <w14:solidFill>
                    <w14:schemeClr w14:val="tx1"/>
                  </w14:solidFill>
                </w14:textFill>
              </w:rPr>
              <w:t>做好游客的紧急疏散和避险工作。</w:t>
            </w:r>
          </w:p>
        </w:tc>
      </w:tr>
      <w:tr>
        <w:tblPrEx>
          <w:tblCellMar>
            <w:top w:w="0" w:type="dxa"/>
            <w:left w:w="108" w:type="dxa"/>
            <w:bottom w:w="0" w:type="dxa"/>
            <w:right w:w="108" w:type="dxa"/>
          </w:tblCellMar>
        </w:tblPrEx>
        <w:trPr>
          <w:trHeight w:val="567"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国网交城县供电公司</w:t>
            </w:r>
          </w:p>
        </w:tc>
        <w:tc>
          <w:tcPr>
            <w:tcW w:w="11388"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负责供电安全保障工作，建立供电应急抢修队伍，储备应急物资，积极配合有关部门进行事故抢险。</w:t>
            </w:r>
          </w:p>
        </w:tc>
      </w:tr>
      <w:tr>
        <w:tblPrEx>
          <w:tblCellMar>
            <w:top w:w="0" w:type="dxa"/>
            <w:left w:w="108" w:type="dxa"/>
            <w:bottom w:w="0" w:type="dxa"/>
            <w:right w:w="108" w:type="dxa"/>
          </w:tblCellMar>
        </w:tblPrEx>
        <w:trPr>
          <w:trHeight w:val="567"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民政局</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组织指导</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社会</w:t>
            </w:r>
            <w:r>
              <w:rPr>
                <w:rFonts w:hint="eastAsia" w:ascii="仿宋_GB2312" w:hAnsi="仿宋_GB2312" w:eastAsia="仿宋_GB2312" w:cs="仿宋_GB2312"/>
                <w:color w:val="000000" w:themeColor="text1"/>
                <w:kern w:val="0"/>
                <w:sz w:val="24"/>
                <w:szCs w:val="24"/>
                <w14:textFill>
                  <w14:solidFill>
                    <w14:schemeClr w14:val="tx1"/>
                  </w14:solidFill>
                </w14:textFill>
              </w:rPr>
              <w:t>捐赠，负责灾区死亡人员的遗体火化。</w:t>
            </w:r>
          </w:p>
        </w:tc>
      </w:tr>
      <w:tr>
        <w:tblPrEx>
          <w:tblCellMar>
            <w:top w:w="0" w:type="dxa"/>
            <w:left w:w="108" w:type="dxa"/>
            <w:bottom w:w="0" w:type="dxa"/>
            <w:right w:w="108" w:type="dxa"/>
          </w:tblCellMar>
        </w:tblPrEx>
        <w:trPr>
          <w:trHeight w:val="1146"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气象局</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负责灾害性天气气候的监测、预警、预报的制作和发布，为</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指挥部开展气象灾害应急处置、防灾减灾提供决策依据和建议；负责组织气象灾害监测、影响等信息的收集、分析和上报工作；组织实施人工影响天气作业；承担指挥部办公室职责。</w:t>
            </w:r>
          </w:p>
        </w:tc>
      </w:tr>
      <w:tr>
        <w:tblPrEx>
          <w:tblCellMar>
            <w:top w:w="0" w:type="dxa"/>
            <w:left w:w="108" w:type="dxa"/>
            <w:bottom w:w="0" w:type="dxa"/>
            <w:right w:w="108" w:type="dxa"/>
          </w:tblCellMar>
        </w:tblPrEx>
        <w:trPr>
          <w:trHeight w:val="567" w:hRule="atLeast"/>
          <w:jc w:val="center"/>
        </w:trPr>
        <w:tc>
          <w:tcPr>
            <w:tcW w:w="29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交城</w:t>
            </w:r>
            <w:r>
              <w:rPr>
                <w:rFonts w:hint="eastAsia" w:ascii="仿宋_GB2312" w:hAnsi="仿宋_GB2312" w:eastAsia="仿宋_GB2312" w:cs="仿宋_GB2312"/>
                <w:color w:val="000000" w:themeColor="text1"/>
                <w:kern w:val="0"/>
                <w:sz w:val="24"/>
                <w:szCs w:val="24"/>
                <w14:textFill>
                  <w14:solidFill>
                    <w14:schemeClr w14:val="tx1"/>
                  </w14:solidFill>
                </w14:textFill>
              </w:rPr>
              <w:t>火车站</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负责恢复被破坏的铁路和有关设施，组织运力做好抢险救援人员、物资和灾民疏散等铁路运输工作。</w:t>
            </w:r>
          </w:p>
        </w:tc>
      </w:tr>
      <w:tr>
        <w:tblPrEx>
          <w:tblCellMar>
            <w:top w:w="0" w:type="dxa"/>
            <w:left w:w="108" w:type="dxa"/>
            <w:bottom w:w="0" w:type="dxa"/>
            <w:right w:w="108" w:type="dxa"/>
          </w:tblCellMar>
        </w:tblPrEx>
        <w:trPr>
          <w:trHeight w:val="567"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县</w:t>
            </w:r>
            <w:r>
              <w:rPr>
                <w:rFonts w:hint="eastAsia" w:ascii="仿宋_GB2312" w:hAnsi="仿宋_GB2312" w:eastAsia="仿宋_GB2312" w:cs="仿宋_GB2312"/>
                <w:color w:val="000000" w:themeColor="text1"/>
                <w:kern w:val="0"/>
                <w:sz w:val="24"/>
                <w:szCs w:val="24"/>
                <w14:textFill>
                  <w14:solidFill>
                    <w14:schemeClr w14:val="tx1"/>
                  </w14:solidFill>
                </w14:textFill>
              </w:rPr>
              <w:t>通信公司（联通</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移动</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电信</w:t>
            </w:r>
            <w:r>
              <w:rPr>
                <w:rFonts w:hint="eastAsia" w:ascii="仿宋_GB2312" w:hAnsi="仿宋_GB2312" w:eastAsia="仿宋_GB2312" w:cs="仿宋_GB2312"/>
                <w:color w:val="000000" w:themeColor="text1"/>
                <w:kern w:val="0"/>
                <w:sz w:val="24"/>
                <w:szCs w:val="24"/>
                <w14:textFill>
                  <w14:solidFill>
                    <w14:schemeClr w14:val="tx1"/>
                  </w14:solidFill>
                </w14:textFill>
              </w:rPr>
              <w:t>）</w:t>
            </w:r>
            <w:r>
              <w:rPr>
                <w:color w:val="000000"/>
                <w:sz w:val="24"/>
              </w:rPr>
              <mc:AlternateContent>
                <mc:Choice Requires="wps">
                  <w:drawing>
                    <wp:anchor distT="0" distB="0" distL="114300" distR="114300" simplePos="0" relativeHeight="251661312" behindDoc="1" locked="0" layoutInCell="1" allowOverlap="1">
                      <wp:simplePos x="0" y="0"/>
                      <wp:positionH relativeFrom="column">
                        <wp:posOffset>-3864610</wp:posOffset>
                      </wp:positionH>
                      <wp:positionV relativeFrom="paragraph">
                        <wp:posOffset>-3874135</wp:posOffset>
                      </wp:positionV>
                      <wp:extent cx="3835400" cy="5220970"/>
                      <wp:effectExtent l="0" t="0" r="12700" b="17780"/>
                      <wp:wrapNone/>
                      <wp:docPr id="73" name="文本框 73"/>
                      <wp:cNvGraphicFramePr/>
                      <a:graphic xmlns:a="http://schemas.openxmlformats.org/drawingml/2006/main">
                        <a:graphicData uri="http://schemas.microsoft.com/office/word/2010/wordprocessingShape">
                          <wps:wsp>
                            <wps:cNvSpPr txBox="1"/>
                            <wps:spPr>
                              <a:xfrm>
                                <a:off x="0" y="0"/>
                                <a:ext cx="3835400" cy="5220970"/>
                              </a:xfrm>
                              <a:prstGeom prst="rect">
                                <a:avLst/>
                              </a:prstGeom>
                              <a:gradFill rotWithShape="0">
                                <a:gsLst>
                                  <a:gs pos="0">
                                    <a:srgbClr val="FFFFFF"/>
                                  </a:gs>
                                  <a:gs pos="100000">
                                    <a:srgbClr val="FFFFFF"/>
                                  </a:gs>
                                </a:gsLst>
                                <a:lin ang="0"/>
                                <a:tileRect/>
                              </a:gradFill>
                              <a:ln w="15875">
                                <a:noFill/>
                              </a:ln>
                              <a:effectLst/>
                            </wps:spPr>
                            <wps:txbx>
                              <w:txbxContent>
                                <w:p>
                                  <w:pPr>
                                    <w:rPr>
                                      <w:rFonts w:hint="eastAsia" w:ascii="宋体" w:hAnsi="宋体" w:eastAsia="宋体" w:cs="宋体"/>
                                      <w:sz w:val="28"/>
                                      <w:szCs w:val="28"/>
                                      <w:lang w:val="en-US" w:eastAsia="zh-CN"/>
                                    </w:rPr>
                                  </w:pPr>
                                  <w:r>
                                    <w:rPr>
                                      <w:rFonts w:hint="eastAsia" w:ascii="宋体" w:hAnsi="宋体" w:cs="宋体"/>
                                      <w:sz w:val="28"/>
                                      <w:szCs w:val="28"/>
                                      <w:lang w:val="en-US" w:eastAsia="zh-CN"/>
                                    </w:rPr>
                                    <w:t>—</w:t>
                                  </w:r>
                                  <w:r>
                                    <w:rPr>
                                      <w:rFonts w:hint="eastAsia" w:ascii="宋体" w:hAnsi="宋体" w:eastAsia="宋体" w:cs="宋体"/>
                                      <w:sz w:val="28"/>
                                      <w:szCs w:val="28"/>
                                      <w:lang w:val="en-US" w:eastAsia="zh-CN"/>
                                    </w:rPr>
                                    <w:t xml:space="preserve"> 16 </w:t>
                                  </w:r>
                                  <w:r>
                                    <w:rPr>
                                      <w:rFonts w:hint="eastAsia" w:ascii="宋体" w:hAnsi="宋体" w:cs="宋体"/>
                                      <w:sz w:val="28"/>
                                      <w:szCs w:val="28"/>
                                      <w:lang w:val="en-US" w:eastAsia="zh-CN"/>
                                    </w:rPr>
                                    <w:t>—</w:t>
                                  </w:r>
                                </w:p>
                              </w:txbxContent>
                            </wps:txbx>
                            <wps:bodyPr vert="eaVert" wrap="square" upright="1"/>
                          </wps:wsp>
                        </a:graphicData>
                      </a:graphic>
                    </wp:anchor>
                  </w:drawing>
                </mc:Choice>
                <mc:Fallback>
                  <w:pict>
                    <v:shape id="_x0000_s1026" o:spid="_x0000_s1026" o:spt="202" type="#_x0000_t202" style="position:absolute;left:0pt;margin-left:-304.3pt;margin-top:-305.05pt;height:411.1pt;width:302pt;z-index:-251655168;mso-width-relative:page;mso-height-relative:page;" fillcolor="#FFFFFF" filled="t" stroked="f" coordsize="21600,21600" o:gfxdata="UEsFBgAAAAAAAAAAAAAAAAAAAAAAAFBLAwQKAAAAAACHTuJAAAAAAAAAAAAAAAAABAAAAGRycy9Q&#10;SwMEFAAAAAgAh07iQMGfIRnZAAAADAEAAA8AAABkcnMvZG93bnJldi54bWxNj01PwzAMhu9I/IfI&#10;SFxQl6SCMpWmk0CCC4LBQJy9NrSFxqmSbCv/Hu8EN388ev24Ws1uFHsb4uDJgF4oEJYa3w7UGXh/&#10;u8+WIGJCanH0ZA382Air+vSkwrL1B3q1+03qBIdQLNFAn9JUShmb3jqMCz9Z4t2nDw4Tt6GTbcAD&#10;h7tR5koV0uFAfKHHyd71tvne7JyB63n98uUf109zuE149fBMFx+ajDk/0+oGRLJz+oPhqM/qULPT&#10;1u+ojWI0kBVqWTB7rLTSIJjJLnmyNZDrXIOsK/n/ifoXUEsDBBQAAAAIAIdO4kBIGuStFgIAADUE&#10;AAAOAAAAZHJzL2Uyb0RvYy54bWytU8uu0zAQ3SPxD5b3NGlLaYmaXgmqskGAuDzWruMklvxi7Dbp&#10;D8AfsGLDnu/qdzB2ckt1kdBdkEUymccZnzPj9U2vFTkK8NKakk4nOSXCcFtJ05T044fdkxUlPjBT&#10;MWWNKOlJeHqzefxo3blCzGxrVSWAIIjxRedK2obgiizzvBWa+Yl1wmCwtqBZwF9osgpYh+haZbM8&#10;f5Z1FioHlgvv0bsdgnREhIcA2rqWXGwtP2hhwoAKQrGAlHwrnaebdNq6Fjy8rWsvAlElRaYhvbEJ&#10;2vv4zjZrVjTAXCv5eAT2kCPc46SZNNj0ArVlgZEDyL+gtORgva3DhFudDUSSIshimt/T5rZlTiQu&#10;KLV3F9H9/4Plb47vgMiqpMs5JYZpnPj5+7fzj1/nn18J+lCgzvkC824dZob+he1xbe78Hp2Rd1+D&#10;jl9kRDCO8p4u8oo+EI7O+Wq+eJpjiGNsMZvlz5dpANmfcgc+vBJWk2iUFHB+SVZ2fO0DHgVT71JG&#10;taudVIqADZ9laJNgsW8KeqwZDOIsaja4PTT7lwrIkeFK7NITySBy46+zp3l8EtK/S1Ll2EpJQ1i8&#10;SONmBanEeyQxNgCWjhvbKEM61HGxWi5SD2MjkSFPmZgh0vqOvOMMBq2jFfp9j6nR3NvqhHPBC416&#10;CfYJv5R0uNAl9V8ODAQlBweyaTGcppbFKtymgfKw+XFdr//Rvr7tm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ihRmPNEAAACUAQAACwAAAAAAAAABACAAAACkAwAAX3JlbHMvLnJlbHNQSwEC&#10;FAAUAAAACACHTuJAfublIPcAAADhAQAAEwAAAAAAAAABACAAAACeBAAAW0NvbnRlbnRfVHlwZXNd&#10;LnhtbFBLAQIUAAoAAAAAAIdO4kAAAAAAAAAAAAAAAAAGAAAAAAAAAAAAEAAAAIADAABfcmVscy9Q&#10;SwECFAAUAAAACACHTuJASBrkrRYCAAA1BAAADgAAAAAAAAABACAAAAA+AQAAZHJzL2Uyb0RvYy54&#10;bWxQSwECFAAUAAAACACHTuJAwZ8hGdkAAAAMAQAADwAAAAAAAAABACAAAAA4AAAAZHJzL2Rvd25y&#10;ZXYueG1sUEsBAhQACgAAAAAAh07iQAAAAAAAAAAAAAAAAAQAAAAAAAAAAAAQAAAAFgAAAGRycy9Q&#10;SwUGAAAAAAYABgBZAQAAxgU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cs="宋体"/>
                                <w:sz w:val="28"/>
                                <w:szCs w:val="28"/>
                                <w:lang w:val="en-US" w:eastAsia="zh-CN"/>
                              </w:rPr>
                              <w:t>—</w:t>
                            </w:r>
                            <w:r>
                              <w:rPr>
                                <w:rFonts w:hint="eastAsia" w:ascii="宋体" w:hAnsi="宋体" w:eastAsia="宋体" w:cs="宋体"/>
                                <w:sz w:val="28"/>
                                <w:szCs w:val="28"/>
                                <w:lang w:val="en-US" w:eastAsia="zh-CN"/>
                              </w:rPr>
                              <w:t xml:space="preserve"> 16 </w:t>
                            </w:r>
                            <w:r>
                              <w:rPr>
                                <w:rFonts w:hint="eastAsia" w:ascii="宋体" w:hAnsi="宋体" w:cs="宋体"/>
                                <w:sz w:val="28"/>
                                <w:szCs w:val="28"/>
                                <w:lang w:val="en-US" w:eastAsia="zh-CN"/>
                              </w:rPr>
                              <w:t>—</w:t>
                            </w:r>
                          </w:p>
                        </w:txbxContent>
                      </v:textbox>
                    </v:shape>
                  </w:pict>
                </mc:Fallback>
              </mc:AlternateConten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负责做好通信保障应急工作</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必要时组织应急预警短信的全网发送工作。</w:t>
            </w:r>
          </w:p>
        </w:tc>
      </w:tr>
      <w:tr>
        <w:tblPrEx>
          <w:tblCellMar>
            <w:top w:w="0" w:type="dxa"/>
            <w:left w:w="108" w:type="dxa"/>
            <w:bottom w:w="0" w:type="dxa"/>
            <w:right w:w="108" w:type="dxa"/>
          </w:tblCellMar>
        </w:tblPrEx>
        <w:trPr>
          <w:trHeight w:val="824" w:hRule="atLeast"/>
          <w:jc w:val="center"/>
        </w:trPr>
        <w:tc>
          <w:tcPr>
            <w:tcW w:w="29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各乡（镇）人民政府</w:t>
            </w:r>
          </w:p>
        </w:tc>
        <w:tc>
          <w:tcPr>
            <w:tcW w:w="1138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负责本行政区域</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气象灾害应急预案的编制、培训、演练等工作，灾害发生后统一组织协调，做好气象灾害现场处置、灾后安置，以及灾情</w:t>
            </w:r>
            <w:r>
              <w:rPr>
                <w:rFonts w:hint="eastAsia" w:ascii="仿宋_GB2312" w:hAnsi="仿宋_GB2312" w:eastAsia="仿宋_GB2312" w:cs="仿宋_GB2312"/>
                <w:color w:val="000000" w:themeColor="text1"/>
                <w:kern w:val="0"/>
                <w:sz w:val="24"/>
                <w:szCs w:val="24"/>
                <w14:textFill>
                  <w14:solidFill>
                    <w14:schemeClr w14:val="tx1"/>
                  </w14:solidFill>
                </w14:textFill>
              </w:rPr>
              <w:t>信息的接报和处理工作</w:t>
            </w: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w:t>
            </w:r>
          </w:p>
        </w:tc>
      </w:tr>
      <w:tr>
        <w:tblPrEx>
          <w:tblCellMar>
            <w:top w:w="0" w:type="dxa"/>
            <w:left w:w="108" w:type="dxa"/>
            <w:bottom w:w="0" w:type="dxa"/>
            <w:right w:w="108" w:type="dxa"/>
          </w:tblCellMar>
        </w:tblPrEx>
        <w:trPr>
          <w:trHeight w:val="567" w:hRule="atLeast"/>
          <w:jc w:val="center"/>
        </w:trPr>
        <w:tc>
          <w:tcPr>
            <w:tcW w:w="1436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各乡镇和各职能部门应制定和实施本行业防御气象灾害应急抢险工作手册，并报县气象灾害指挥部办公室备案。</w:t>
            </w:r>
          </w:p>
        </w:tc>
      </w:tr>
    </w:tbl>
    <w:p>
      <w:pPr>
        <w:pStyle w:val="2"/>
        <w:spacing w:before="0" w:after="0"/>
        <w:outlineLvl w:val="2"/>
        <w:rPr>
          <w:rFonts w:hint="eastAsia" w:ascii="黑体" w:hAnsi="黑体" w:cs="Times New Roman"/>
          <w:b w:val="0"/>
          <w:bCs w:val="0"/>
          <w:color w:val="000000" w:themeColor="text1"/>
          <w:lang w:eastAsia="zh-CN"/>
          <w14:textFill>
            <w14:solidFill>
              <w14:schemeClr w14:val="tx1"/>
            </w14:solidFill>
          </w14:textFill>
        </w:rPr>
        <w:sectPr>
          <w:footerReference r:id="rId5" w:type="default"/>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2D4A45"/>
    <w:rsid w:val="332D4A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Normal (Web)"/>
    <w:basedOn w:val="1"/>
    <w:next w:val="1"/>
    <w:qFormat/>
    <w:uiPriority w:val="0"/>
    <w:pPr>
      <w:jc w:val="left"/>
    </w:pPr>
    <w:rPr>
      <w:rFonts w:cs="Times New Roman"/>
      <w:kern w:val="0"/>
      <w:sz w:val="18"/>
      <w:szCs w:val="18"/>
    </w:rPr>
  </w:style>
  <w:style w:type="character" w:customStyle="1" w:styleId="7">
    <w:name w:val="font12"/>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2024-10-30T09:51:00Z</dcterms:created>
  <dc:creator>greatwall</dc:creator>
  <cp:lastModifiedBy>greatwall</cp:lastModifiedBy>
  <dcterms:modified xsi:type="dcterms:W3CDTF">2024-10-30T09:51:43Z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