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/>
        <w:outlineLvl w:val="2"/>
        <w:rPr>
          <w:rFonts w:hint="default" w:ascii="黑体" w:hAnsi="黑体" w:eastAsia="黑体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-3909060</wp:posOffset>
                </wp:positionH>
                <wp:positionV relativeFrom="paragraph">
                  <wp:posOffset>4459605</wp:posOffset>
                </wp:positionV>
                <wp:extent cx="3844925" cy="848995"/>
                <wp:effectExtent l="0" t="0" r="3175" b="8255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4925" cy="84899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17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7.8pt;margin-top:351.15pt;height:66.85pt;width:302.75pt;z-index:-251657216;mso-width-relative:page;mso-height-relative:page;" fillcolor="#FFFFFF" filled="t" stroked="f" coordsize="21600,21600" o:gfxdata="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">
                <v:fill type="gradient" on="t" color2="#FFFFFF" angle="90" focus="100%" focussize="0,0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17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cs="Times New Roman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交城县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气象灾害应急工作组组成及职责</w:t>
      </w:r>
    </w:p>
    <w:tbl>
      <w:tblPr>
        <w:tblStyle w:val="4"/>
        <w:tblW w:w="146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666"/>
        <w:gridCol w:w="4709"/>
        <w:gridCol w:w="6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应急工作组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组长单位</w:t>
            </w:r>
          </w:p>
        </w:tc>
        <w:tc>
          <w:tcPr>
            <w:tcW w:w="4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成员单位</w:t>
            </w: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综合协调组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气象局</w:t>
            </w:r>
          </w:p>
        </w:tc>
        <w:tc>
          <w:tcPr>
            <w:tcW w:w="4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委宣传部、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县发展和改革局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公安局、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应急管理局</w:t>
            </w:r>
          </w:p>
        </w:tc>
        <w:tc>
          <w:tcPr>
            <w:tcW w:w="6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应急准备、应急响应及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应急处置等综合协调工作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5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监测预警组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气象局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自然资源局、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市生态环境局交城分局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县林业局、县住房和城乡建设管理局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水利局、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应急管理局</w:t>
            </w:r>
          </w:p>
        </w:tc>
        <w:tc>
          <w:tcPr>
            <w:tcW w:w="6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气象局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负责暴雨（雪）、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气象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干旱等灾害性天气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的监测、预报、预警工作，并会同其他成员单位，开展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山洪、地质灾害、城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内涝、森林火险等次生灾害的监测、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研判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和预警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  <w:jc w:val="center"/>
        </w:trPr>
        <w:tc>
          <w:tcPr>
            <w:tcW w:w="15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现场抢险组</w:t>
            </w:r>
          </w:p>
        </w:tc>
        <w:tc>
          <w:tcPr>
            <w:tcW w:w="16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应急管理局</w:t>
            </w:r>
          </w:p>
        </w:tc>
        <w:tc>
          <w:tcPr>
            <w:tcW w:w="4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各乡（镇）人民政府、县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公安局、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县人武部、县消防救援大队、县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交通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运输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县公路段、县住房和城乡建设管理局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县文化和旅游局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市生态环境局交城分局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自然资源局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、县林业局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水利局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县农业农村局</w:t>
            </w:r>
          </w:p>
        </w:tc>
        <w:tc>
          <w:tcPr>
            <w:tcW w:w="6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负责气象灾害事件中人员搜救、隐患消除、公路通行能力恢复和灾害破坏程度鉴定等工作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医学救援组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县卫生健康局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负责整合、调派医疗救治、卫生防疫等医疗卫生救援队伍、装备、医药物资等赴灾区开展气象灾害伤病员现场急救、转运、院内救治和卫生防疫工作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为救援人员和灾区群众提供医疗卫生保障服务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widowControl/>
        <w:jc w:val="center"/>
        <w:rPr>
          <w:rFonts w:hint="eastAsia" w:ascii="黑体" w:hAnsi="黑体" w:eastAsia="黑体" w:cs="黑体"/>
          <w:b w:val="0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tbl>
      <w:tblPr>
        <w:tblStyle w:val="4"/>
        <w:tblW w:w="146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666"/>
        <w:gridCol w:w="4709"/>
        <w:gridCol w:w="6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-3801110</wp:posOffset>
                      </wp:positionH>
                      <wp:positionV relativeFrom="paragraph">
                        <wp:posOffset>22225</wp:posOffset>
                      </wp:positionV>
                      <wp:extent cx="3835400" cy="5220970"/>
                      <wp:effectExtent l="0" t="0" r="12700" b="17780"/>
                      <wp:wrapNone/>
                      <wp:docPr id="75" name="文本框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52209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 xml:space="preserve"> 18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</w:p>
                              </w:txbxContent>
                            </wps:txbx>
                            <wps:bodyPr vert="eaVert"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99.3pt;margin-top:1.75pt;height:411.1pt;width:302pt;z-index:-251656192;mso-width-relative:page;mso-height-relative:page;" fillcolor="#FFFFFF" filled="t" stroked="f" coordsize="21600,21600" o:gfxdata="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DwWqOLFQIAADUEAAAOAAAAAAAAAAEAIAAAAD4BAABkcnMvZTJvRG9jLnht&#10;bFBLAQIUABQAAAAIAIdO4kDYPf1c2QAAAAgBAAAPAAAAAAAAAAEAIAAAADgAAABkcnMvZG93bnJl&#10;di54bWxQSwECFAAKAAAAAACHTuJAAAAAAAAAAAAAAAAABAAAAAAAAAAAABAAAAAWAAAAZHJzL1BL&#10;BQYAAAAABgAGAFkBAADFBQAAAAA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18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应急工作组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组长单位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成员单位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安全保卫组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公安局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县人武部、县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交警大队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负责气象灾害事发地安全警戒，疏散、转移安置人员，维护现场秩序；依法打击违法犯罪活动；维护事发现场周边地区道路交通秩序，实施交通管制和交通疏导，保障救援道路畅通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后勤保障组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县应急管理局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县发展和改革局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县工信和科技局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公安局、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财政局、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交通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运输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段、县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能源局、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气象局、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民政局、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国网交城县供电公司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通信公司（联通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、交城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火车站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负责应急物资、应急车辆、救援人员、气象预报、电力保障、通信保障、资金保障、救灾物资储备、灾民救助、善后处理等工作，建立突发事件处置现场与上级应急指挥部的通信联络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调查监测组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气象局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自然资源局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市生态环境局交城分局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交通局、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水利局、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、县林业局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应急管理局、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公路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段、交城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火车站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负责对事发地气象条件及灾害进行调查统计和动态监测，为气象灾害处置提供技术支持，防止次生灾害造成更大的人员伤亡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新闻报道组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委宣传部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县融媒体中心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指挥部提供的权威信息，组织协调新闻媒体做好气象灾害应急处置的新闻报道，积极引导舆论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专家咨询组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气象局</w:t>
            </w:r>
          </w:p>
        </w:tc>
        <w:tc>
          <w:tcPr>
            <w:tcW w:w="4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省、市气象部门业务单位、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县市区气象台站，各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乡（镇）人民政府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根据天气形势变化，及时与天气系统上游气象台站、上级业务单位沟通会商，分析评估灾害性天气的强度、影响及发展态势，为县指挥部决策提供技术支持，科学指导气象灾害应急工作。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D64F"/>
    <w:rsid w:val="36AF7735"/>
    <w:rsid w:val="7FFFD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2024-10-30T17:51:00Z</dcterms:created>
  <dc:creator>greatwall</dc:creator>
  <cp:lastModifiedBy>greatwall</cp:lastModifiedBy>
  <dcterms:modified xsi:type="dcterms:W3CDTF">2024-10-30T10:05:30Z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