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2975" w:type="dxa"/>
        <w:tblInd w:w="93" w:type="dxa"/>
        <w:shd w:val="clear"/>
        <w:tblLayout w:type="autofit"/>
        <w:tblCellMar>
          <w:top w:w="0" w:type="dxa"/>
          <w:left w:w="108" w:type="dxa"/>
          <w:bottom w:w="0" w:type="dxa"/>
          <w:right w:w="108" w:type="dxa"/>
        </w:tblCellMar>
      </w:tblPr>
      <w:tblGrid>
        <w:gridCol w:w="2220"/>
        <w:gridCol w:w="817"/>
        <w:gridCol w:w="676"/>
        <w:gridCol w:w="4639"/>
        <w:gridCol w:w="566"/>
        <w:gridCol w:w="5163"/>
      </w:tblGrid>
      <w:tr>
        <w:tblPrEx>
          <w:shd w:val="clear"/>
          <w:tblCellMar>
            <w:top w:w="0" w:type="dxa"/>
            <w:left w:w="108" w:type="dxa"/>
            <w:bottom w:w="0" w:type="dxa"/>
            <w:right w:w="108" w:type="dxa"/>
          </w:tblCellMar>
        </w:tblPrEx>
        <w:trPr>
          <w:trHeight w:val="700" w:hRule="atLeast"/>
        </w:trPr>
        <w:tc>
          <w:tcPr>
            <w:tcW w:w="12975" w:type="dxa"/>
            <w:gridSpan w:val="6"/>
            <w:tcBorders>
              <w:top w:val="nil"/>
              <w:left w:val="nil"/>
              <w:bottom w:val="nil"/>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预防接种异常反应调查诊断廉政风险防控图</w:t>
            </w:r>
          </w:p>
        </w:tc>
      </w:tr>
      <w:tr>
        <w:tblPrEx>
          <w:tblCellMar>
            <w:top w:w="0" w:type="dxa"/>
            <w:left w:w="108" w:type="dxa"/>
            <w:bottom w:w="0" w:type="dxa"/>
            <w:right w:w="108" w:type="dxa"/>
          </w:tblCellMar>
        </w:tblPrEx>
        <w:trPr>
          <w:trHeight w:val="900" w:hRule="atLeast"/>
        </w:trPr>
        <w:tc>
          <w:tcPr>
            <w:tcW w:w="387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1、诊断工作结束后30天内做出诊断结论</w:t>
            </w:r>
          </w:p>
        </w:tc>
        <w:tc>
          <w:tcPr>
            <w:tcW w:w="480" w:type="dxa"/>
            <w:tcBorders>
              <w:top w:val="nil"/>
              <w:left w:val="nil"/>
              <w:bottom w:val="nil"/>
              <w:right w:val="nil"/>
            </w:tcBorders>
            <w:shd w:val="clear"/>
            <w:vAlign w:val="center"/>
          </w:tcPr>
          <w:p>
            <w:pPr>
              <w:keepNext w:val="0"/>
              <w:keepLines w:val="0"/>
              <w:widowControl/>
              <w:suppressLineNumbers w:val="0"/>
              <w:jc w:val="center"/>
              <w:textAlignment w:val="center"/>
              <w:rPr>
                <w:rFonts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8625"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做出诊断结论后，负责调查诊断的疾控中心按诊断结论及时进行网络个案订正，将调查诊断书与尸检报告上传至监测系统 </w:t>
            </w:r>
          </w:p>
        </w:tc>
      </w:tr>
      <w:tr>
        <w:tblPrEx>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r>
      <w:tr>
        <w:tblPrEx>
          <w:tblCellMar>
            <w:top w:w="0" w:type="dxa"/>
            <w:left w:w="108" w:type="dxa"/>
            <w:bottom w:w="0" w:type="dxa"/>
            <w:right w:w="108" w:type="dxa"/>
          </w:tblCellMar>
        </w:tblPrEx>
        <w:trPr>
          <w:trHeight w:val="5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2、调查诊断书送至</w:t>
            </w:r>
          </w:p>
        </w:tc>
        <w:tc>
          <w:tcPr>
            <w:tcW w:w="0" w:type="auto"/>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gridSpan w:val="3"/>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2、调查诊断结论报告</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tcBorders>
              <w:top w:val="nil"/>
              <w:left w:val="nil"/>
              <w:bottom w:val="nil"/>
              <w:right w:val="nil"/>
            </w:tcBorders>
            <w:shd w:val="clear"/>
            <w:noWrap/>
            <w:vAlign w:val="center"/>
          </w:tcPr>
          <w:p>
            <w:pPr>
              <w:jc w:val="center"/>
              <w:rPr>
                <w:rFonts w:hint="default" w:ascii="Calibri" w:hAnsi="Calibri" w:eastAsia="宋体" w:cs="Calibri"/>
                <w:i w:val="0"/>
                <w:iCs w:val="0"/>
                <w:color w:val="000000"/>
                <w:sz w:val="22"/>
                <w:szCs w:val="22"/>
                <w:u w:val="none"/>
              </w:rPr>
            </w:pPr>
          </w:p>
        </w:tc>
        <w:tc>
          <w:tcPr>
            <w:tcW w:w="0" w:type="auto"/>
            <w:tcBorders>
              <w:top w:val="nil"/>
              <w:left w:val="nil"/>
              <w:bottom w:val="nil"/>
              <w:right w:val="nil"/>
            </w:tcBorders>
            <w:shd w:val="clear"/>
            <w:noWrap/>
            <w:vAlign w:val="center"/>
          </w:tcPr>
          <w:p>
            <w:pPr>
              <w:jc w:val="center"/>
              <w:rPr>
                <w:rFonts w:hint="default" w:ascii="Calibri" w:hAnsi="Calibri" w:eastAsia="宋体" w:cs="Calibri"/>
                <w:i w:val="0"/>
                <w:iCs w:val="0"/>
                <w:color w:val="000000"/>
                <w:sz w:val="22"/>
                <w:szCs w:val="22"/>
                <w:u w:val="none"/>
              </w:rPr>
            </w:pPr>
          </w:p>
        </w:tc>
        <w:tc>
          <w:tcPr>
            <w:tcW w:w="0" w:type="auto"/>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4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受种方、接种单位疫苗生产企业</w:t>
            </w:r>
          </w:p>
        </w:tc>
        <w:tc>
          <w:tcPr>
            <w:tcW w:w="0" w:type="auto"/>
            <w:tcBorders>
              <w:top w:val="single" w:color="000000" w:sz="4" w:space="0"/>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县级卫健局、县级市场监督管理局</w:t>
            </w:r>
          </w:p>
        </w:tc>
        <w:tc>
          <w:tcPr>
            <w:tcW w:w="0" w:type="auto"/>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45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1、怀疑为接种实施因素引起的建议向接种所在地的医学会申请医疗事故鉴定；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2、怀疑疫苗质量问题引起的，由县级市场监督局调查是否存在疫苗质量问题</w:t>
            </w:r>
          </w:p>
        </w:tc>
      </w:tr>
      <w:tr>
        <w:tblPrEx>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r>
      <w:tr>
        <w:tblPrEx>
          <w:tblCellMar>
            <w:top w:w="0" w:type="dxa"/>
            <w:left w:w="108" w:type="dxa"/>
            <w:bottom w:w="0" w:type="dxa"/>
            <w:right w:w="108" w:type="dxa"/>
          </w:tblCellMar>
        </w:tblPrEx>
        <w:trPr>
          <w:trHeight w:val="500" w:hRule="atLeast"/>
        </w:trPr>
        <w:tc>
          <w:tcPr>
            <w:tcW w:w="0" w:type="auto"/>
            <w:gridSpan w:val="6"/>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向医学会申请预防接种异常反应鉴定</w:t>
            </w:r>
          </w:p>
        </w:tc>
      </w:tr>
      <w:tr>
        <w:tblPrEx>
          <w:tblCellMar>
            <w:top w:w="0" w:type="dxa"/>
            <w:left w:w="108" w:type="dxa"/>
            <w:bottom w:w="0" w:type="dxa"/>
            <w:right w:w="108" w:type="dxa"/>
          </w:tblCellMar>
        </w:tblPrEx>
        <w:trPr>
          <w:trHeight w:val="1000" w:hRule="atLeast"/>
        </w:trPr>
        <w:tc>
          <w:tcPr>
            <w:tcW w:w="0" w:type="auto"/>
            <w:gridSpan w:val="6"/>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bdr w:val="none" w:color="auto" w:sz="0" w:space="0"/>
                <w:lang w:val="en-US" w:eastAsia="zh-CN" w:bidi="ar"/>
              </w:rPr>
              <w:t>预防接种异常反应调查诊断廉政风险补偿与鉴定</w:t>
            </w:r>
          </w:p>
        </w:tc>
      </w:tr>
      <w:tr>
        <w:tblPrEx>
          <w:tblCellMar>
            <w:top w:w="0" w:type="dxa"/>
            <w:left w:w="108" w:type="dxa"/>
            <w:bottom w:w="0" w:type="dxa"/>
            <w:right w:w="108" w:type="dxa"/>
          </w:tblCellMar>
        </w:tblPrEx>
        <w:trPr>
          <w:trHeight w:val="160" w:hRule="atLeast"/>
        </w:trPr>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84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受种方、接种单位疫苗生产企业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对诊断结论无异议</w:t>
            </w:r>
          </w:p>
        </w:tc>
        <w:tc>
          <w:tcPr>
            <w:tcW w:w="0" w:type="auto"/>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诊断结论为无异常结案</w:t>
            </w:r>
          </w:p>
        </w:tc>
      </w:tr>
      <w:tr>
        <w:tblPrEx>
          <w:tblCellMar>
            <w:top w:w="0" w:type="dxa"/>
            <w:left w:w="108" w:type="dxa"/>
            <w:bottom w:w="0" w:type="dxa"/>
            <w:right w:w="108" w:type="dxa"/>
          </w:tblCellMar>
        </w:tblPrEx>
        <w:trPr>
          <w:trHeight w:val="84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对诊断结论有异议</w:t>
            </w:r>
          </w:p>
        </w:tc>
        <w:tc>
          <w:tcPr>
            <w:tcW w:w="0" w:type="auto"/>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诊断结论为异常反应可申请补偿</w:t>
            </w:r>
          </w:p>
        </w:tc>
      </w:tr>
    </w:tbl>
    <w:p>
      <w:pPr>
        <w:sectPr>
          <w:pgSz w:w="16838" w:h="11906" w:orient="landscape"/>
          <w:pgMar w:top="1800" w:right="1440" w:bottom="1800" w:left="1440" w:header="851" w:footer="992" w:gutter="0"/>
          <w:cols w:space="425" w:num="1"/>
          <w:docGrid w:type="lines" w:linePitch="312" w:charSpace="0"/>
        </w:sect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E03C66"/>
    <w:rsid w:val="17E03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2021-05-24T08:47:00Z</dcterms:created>
  <dc:creator>Lvya^</dc:creator>
  <cp:lastModifiedBy>Lvya^</cp:lastModifiedBy>
  <dcterms:modified xsi:type="dcterms:W3CDTF">2021-05-24T08:52:11Z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A5DB31064E4B4FA79D4A3F62018D1B57</vt:lpwstr>
  </property>
</Properties>
</file>